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404" w:rsidRPr="00817404" w:rsidRDefault="00817404" w:rsidP="00817404">
      <w:pPr>
        <w:spacing w:after="0"/>
        <w:rPr>
          <w:rFonts w:eastAsia="Calibri" w:cs="Times New Roman"/>
          <w:b/>
          <w:sz w:val="20"/>
          <w:szCs w:val="20"/>
        </w:rPr>
      </w:pPr>
      <w:bookmarkStart w:id="0" w:name="_GoBack"/>
      <w:bookmarkEnd w:id="0"/>
      <w:r w:rsidRPr="00817404">
        <w:rPr>
          <w:rFonts w:eastAsia="Calibri" w:cs="Times New Roman"/>
          <w:b/>
          <w:sz w:val="20"/>
          <w:szCs w:val="20"/>
        </w:rPr>
        <w:t>Examination of the East Lindsey Core Strategy and the East Lindsey Settlement Proposals Development Plan Document</w:t>
      </w:r>
    </w:p>
    <w:p w:rsidR="00817404" w:rsidRPr="00817404" w:rsidRDefault="00817404" w:rsidP="00817404">
      <w:pPr>
        <w:spacing w:after="0"/>
        <w:rPr>
          <w:rFonts w:eastAsia="Calibri" w:cs="Times New Roman"/>
          <w:b/>
          <w:sz w:val="32"/>
          <w:szCs w:val="32"/>
        </w:rPr>
      </w:pPr>
    </w:p>
    <w:p w:rsidR="00817404" w:rsidRPr="00817404" w:rsidRDefault="00817404" w:rsidP="00817404">
      <w:pPr>
        <w:spacing w:after="0"/>
        <w:rPr>
          <w:rFonts w:eastAsia="Calibri" w:cs="Times New Roman"/>
          <w:b/>
          <w:sz w:val="32"/>
          <w:szCs w:val="32"/>
        </w:rPr>
      </w:pPr>
      <w:r w:rsidRPr="00817404">
        <w:rPr>
          <w:rFonts w:eastAsia="Calibri" w:cs="Times New Roman"/>
          <w:b/>
          <w:sz w:val="32"/>
          <w:szCs w:val="32"/>
        </w:rPr>
        <w:t>Inspector’s Matters, Issues and Questions (MIQs)</w:t>
      </w:r>
    </w:p>
    <w:p w:rsidR="00817404" w:rsidRPr="00817404" w:rsidRDefault="00817404" w:rsidP="00817404">
      <w:pPr>
        <w:spacing w:after="0"/>
        <w:rPr>
          <w:rFonts w:eastAsia="Calibri" w:cs="Times New Roman"/>
          <w:b/>
          <w:sz w:val="32"/>
          <w:szCs w:val="32"/>
        </w:rPr>
      </w:pPr>
      <w:r w:rsidRPr="00817404">
        <w:rPr>
          <w:rFonts w:eastAsia="Calibri" w:cs="Times New Roman"/>
          <w:b/>
          <w:sz w:val="32"/>
          <w:szCs w:val="32"/>
        </w:rPr>
        <w:t>Stage 2 – Settlement Proposals DPD</w:t>
      </w:r>
    </w:p>
    <w:p w:rsidR="00817404" w:rsidRDefault="00817404" w:rsidP="00861523">
      <w:pPr>
        <w:spacing w:after="0"/>
        <w:rPr>
          <w:b/>
          <w:sz w:val="28"/>
          <w:szCs w:val="28"/>
        </w:rPr>
      </w:pPr>
    </w:p>
    <w:p w:rsidR="00861523" w:rsidRPr="007131B9" w:rsidRDefault="00861523" w:rsidP="00861523">
      <w:pPr>
        <w:spacing w:after="0"/>
        <w:rPr>
          <w:b/>
          <w:sz w:val="28"/>
          <w:szCs w:val="28"/>
        </w:rPr>
      </w:pPr>
      <w:r w:rsidRPr="007131B9">
        <w:rPr>
          <w:b/>
          <w:sz w:val="28"/>
          <w:szCs w:val="28"/>
        </w:rPr>
        <w:t>Matter 3a – Housing Land Supply</w:t>
      </w:r>
    </w:p>
    <w:p w:rsidR="00861523" w:rsidRPr="007131B9" w:rsidRDefault="00861523" w:rsidP="00861523">
      <w:pPr>
        <w:pStyle w:val="ListParagraph"/>
        <w:spacing w:after="0"/>
        <w:ind w:left="0"/>
        <w:rPr>
          <w:b/>
        </w:rPr>
      </w:pPr>
    </w:p>
    <w:p w:rsidR="00861523" w:rsidRPr="007131B9" w:rsidRDefault="00861523" w:rsidP="00861523">
      <w:pPr>
        <w:spacing w:after="0"/>
        <w:rPr>
          <w:b/>
        </w:rPr>
      </w:pPr>
      <w:r w:rsidRPr="007131B9">
        <w:rPr>
          <w:b/>
          <w:u w:val="single"/>
        </w:rPr>
        <w:t>Issue:</w:t>
      </w:r>
      <w:r w:rsidRPr="007131B9">
        <w:rPr>
          <w:b/>
        </w:rPr>
        <w:t xml:space="preserve"> Will the Core Strategy and Settlement Proposals DPD deliver the housing requirement for 2017 to 2031 (including for affordable housing) for the period 2017 to 2031?  Do the plans meet the requirements of paragraph 47 of the NPPF in respect of housing delivery?</w:t>
      </w:r>
      <w:r w:rsidRPr="007131B9">
        <w:rPr>
          <w:b/>
          <w:strike/>
        </w:rPr>
        <w:t>; and paragraph 10 of the Planning Policy for Traveller Sites (PPTS) in respect of delivering the relevant development?</w:t>
      </w:r>
    </w:p>
    <w:p w:rsidR="00861523" w:rsidRDefault="00861523" w:rsidP="00861523">
      <w:pPr>
        <w:spacing w:after="0"/>
      </w:pPr>
    </w:p>
    <w:p w:rsidR="00861523" w:rsidRDefault="00861523" w:rsidP="00861523">
      <w:pPr>
        <w:spacing w:after="0"/>
      </w:pPr>
      <w:r>
        <w:t xml:space="preserve">In responding to the questions below, please have regard to the questions and answers for the Stage 1 Core Strategy, Matter 8.  These concern what the five-year supply requirement should be.  </w:t>
      </w:r>
      <w:r w:rsidRPr="00C80CFD">
        <w:rPr>
          <w:color w:val="0070C0"/>
        </w:rPr>
        <w:t>Please also have regard to the Council’s revised evidence on housing supply avail</w:t>
      </w:r>
      <w:r>
        <w:rPr>
          <w:color w:val="0070C0"/>
        </w:rPr>
        <w:t>able as documents ED016 to ED033.</w:t>
      </w:r>
      <w:r w:rsidRPr="009B0063">
        <w:rPr>
          <w:b/>
          <w:color w:val="FF0000"/>
        </w:rPr>
        <w:t>CHECK DOC NOS</w:t>
      </w:r>
      <w:r>
        <w:t>).</w:t>
      </w:r>
    </w:p>
    <w:p w:rsidR="00861523" w:rsidRDefault="00861523" w:rsidP="00861523">
      <w:pPr>
        <w:spacing w:after="0"/>
      </w:pPr>
    </w:p>
    <w:p w:rsidR="00861523" w:rsidRPr="007131B9" w:rsidRDefault="00861523" w:rsidP="00861523">
      <w:pPr>
        <w:spacing w:after="0"/>
        <w:rPr>
          <w:i/>
          <w:u w:val="single"/>
        </w:rPr>
      </w:pPr>
      <w:r w:rsidRPr="007131B9">
        <w:rPr>
          <w:i/>
          <w:u w:val="single"/>
        </w:rPr>
        <w:t>Total Housing Supply for the plan period</w:t>
      </w:r>
    </w:p>
    <w:p w:rsidR="00861523" w:rsidRPr="007131B9" w:rsidRDefault="00861523" w:rsidP="00861523">
      <w:pPr>
        <w:spacing w:after="0"/>
        <w:ind w:left="426" w:hanging="426"/>
      </w:pPr>
    </w:p>
    <w:p w:rsidR="00861523" w:rsidRPr="007131B9" w:rsidRDefault="00861523" w:rsidP="00861523">
      <w:pPr>
        <w:pStyle w:val="ListParagraph"/>
        <w:numPr>
          <w:ilvl w:val="0"/>
          <w:numId w:val="2"/>
        </w:numPr>
        <w:spacing w:after="0"/>
        <w:ind w:left="426" w:hanging="426"/>
      </w:pPr>
      <w:r w:rsidRPr="007131B9">
        <w:t>Will the policies in both plans ensure that the overall housing requirement for 2017 to 2031 can be met, taking into account under-delivery since 2011?  What is the supply from coastal commitments, inland commitments and allocations as of 2017?  Is there likely to be any supply from ‘windfall’ development, including for example through policies SP3 5 and SP4?</w:t>
      </w:r>
    </w:p>
    <w:p w:rsidR="00817404" w:rsidRPr="007131B9" w:rsidRDefault="00817404" w:rsidP="00817404">
      <w:pPr>
        <w:pStyle w:val="ListParagraph"/>
        <w:spacing w:after="0"/>
        <w:ind w:left="426"/>
      </w:pPr>
    </w:p>
    <w:p w:rsidR="00817404" w:rsidRPr="007131B9" w:rsidRDefault="00817404" w:rsidP="00817404">
      <w:pPr>
        <w:pStyle w:val="ListParagraph"/>
        <w:spacing w:after="0"/>
        <w:ind w:left="426"/>
        <w:rPr>
          <w:i/>
        </w:rPr>
      </w:pPr>
      <w:r w:rsidRPr="007131B9">
        <w:rPr>
          <w:i/>
        </w:rPr>
        <w:t>The Council believes that the policies in both plan ensure that the overall housing requirement for 2017 to 2031 can be met.  The 1085 under delivery of housing has been incorporated into the overa</w:t>
      </w:r>
      <w:r w:rsidR="00882A32" w:rsidRPr="007131B9">
        <w:rPr>
          <w:i/>
        </w:rPr>
        <w:t>ll housing requirement.  This shortfall is calculated below;</w:t>
      </w:r>
    </w:p>
    <w:p w:rsidR="00882A32" w:rsidRPr="007131B9" w:rsidRDefault="00882A32" w:rsidP="00817404">
      <w:pPr>
        <w:pStyle w:val="ListParagraph"/>
        <w:spacing w:after="0"/>
        <w:ind w:left="426"/>
        <w:rPr>
          <w:i/>
        </w:rPr>
      </w:pPr>
    </w:p>
    <w:p w:rsidR="00882A32" w:rsidRPr="007131B9" w:rsidRDefault="00882A32" w:rsidP="00882A32">
      <w:pPr>
        <w:pStyle w:val="ListParagraph"/>
        <w:spacing w:after="0"/>
        <w:ind w:left="426"/>
        <w:rPr>
          <w:i/>
        </w:rPr>
      </w:pPr>
      <w:r w:rsidRPr="007131B9">
        <w:rPr>
          <w:i/>
        </w:rPr>
        <w:t>The Council would agree that the start date of the Local Plan is 2011.  The plan would therefore run from 2011 – 2031.  This would make a total housing need at 481 homes per year over the 20 year period = 9620.</w:t>
      </w:r>
    </w:p>
    <w:p w:rsidR="00882A32" w:rsidRPr="007131B9" w:rsidRDefault="00882A32" w:rsidP="00882A32">
      <w:pPr>
        <w:pStyle w:val="ListParagraph"/>
        <w:spacing w:after="0"/>
        <w:ind w:left="426"/>
        <w:rPr>
          <w:i/>
        </w:rPr>
      </w:pPr>
    </w:p>
    <w:p w:rsidR="00882A32" w:rsidRPr="007131B9" w:rsidRDefault="00882A32" w:rsidP="00882A32">
      <w:pPr>
        <w:pStyle w:val="ListParagraph"/>
        <w:spacing w:after="0"/>
        <w:ind w:left="426"/>
        <w:rPr>
          <w:i/>
        </w:rPr>
      </w:pPr>
      <w:r w:rsidRPr="007131B9">
        <w:rPr>
          <w:i/>
        </w:rPr>
        <w:t>Up to the 1</w:t>
      </w:r>
      <w:r w:rsidRPr="007131B9">
        <w:rPr>
          <w:i/>
          <w:vertAlign w:val="superscript"/>
        </w:rPr>
        <w:t>st</w:t>
      </w:r>
      <w:r w:rsidRPr="007131B9">
        <w:rPr>
          <w:i/>
        </w:rPr>
        <w:t xml:space="preserve"> March 2017 the District should have delivered 2886 homes for the period 2011 – 2017, this is 6 x 481, but as set out below the District delivered 1081 homes;</w:t>
      </w:r>
    </w:p>
    <w:p w:rsidR="00882A32" w:rsidRPr="007131B9" w:rsidRDefault="00882A32" w:rsidP="00882A32">
      <w:pPr>
        <w:pStyle w:val="ListParagraph"/>
        <w:spacing w:after="0"/>
        <w:ind w:left="426"/>
        <w:rPr>
          <w:i/>
        </w:rPr>
      </w:pPr>
    </w:p>
    <w:p w:rsidR="00882A32" w:rsidRPr="007131B9" w:rsidRDefault="00882A32" w:rsidP="00882A32">
      <w:pPr>
        <w:pStyle w:val="ListParagraph"/>
        <w:spacing w:after="0"/>
        <w:ind w:left="426"/>
        <w:rPr>
          <w:i/>
        </w:rPr>
      </w:pPr>
    </w:p>
    <w:p w:rsidR="00882A32" w:rsidRPr="007131B9" w:rsidRDefault="00882A32" w:rsidP="00882A32">
      <w:pPr>
        <w:pStyle w:val="ListParagraph"/>
        <w:ind w:left="426"/>
        <w:rPr>
          <w:i/>
          <w:lang w:val="en-US"/>
        </w:rPr>
      </w:pPr>
      <w:r w:rsidRPr="007131B9">
        <w:rPr>
          <w:i/>
          <w:lang w:val="en-US"/>
        </w:rPr>
        <w:lastRenderedPageBreak/>
        <w:t>2011</w:t>
      </w:r>
      <w:r w:rsidRPr="007131B9">
        <w:rPr>
          <w:i/>
          <w:lang w:val="en-US"/>
        </w:rPr>
        <w:tab/>
        <w:t>246</w:t>
      </w:r>
    </w:p>
    <w:p w:rsidR="00882A32" w:rsidRPr="007131B9" w:rsidRDefault="00882A32" w:rsidP="00882A32">
      <w:pPr>
        <w:pStyle w:val="ListParagraph"/>
        <w:ind w:left="426"/>
        <w:rPr>
          <w:i/>
          <w:lang w:val="en-US"/>
        </w:rPr>
      </w:pPr>
      <w:r w:rsidRPr="007131B9">
        <w:rPr>
          <w:i/>
          <w:lang w:val="en-US"/>
        </w:rPr>
        <w:t>2012</w:t>
      </w:r>
      <w:r w:rsidRPr="007131B9">
        <w:rPr>
          <w:i/>
          <w:lang w:val="en-US"/>
        </w:rPr>
        <w:tab/>
        <w:t>240</w:t>
      </w:r>
    </w:p>
    <w:p w:rsidR="00882A32" w:rsidRPr="007131B9" w:rsidRDefault="00882A32" w:rsidP="00882A32">
      <w:pPr>
        <w:pStyle w:val="ListParagraph"/>
        <w:ind w:left="426"/>
        <w:rPr>
          <w:i/>
          <w:lang w:val="en-US"/>
        </w:rPr>
      </w:pPr>
      <w:r w:rsidRPr="007131B9">
        <w:rPr>
          <w:i/>
          <w:lang w:val="en-US"/>
        </w:rPr>
        <w:t>2013</w:t>
      </w:r>
      <w:r w:rsidRPr="007131B9">
        <w:rPr>
          <w:i/>
          <w:lang w:val="en-US"/>
        </w:rPr>
        <w:tab/>
        <w:t>276</w:t>
      </w:r>
    </w:p>
    <w:p w:rsidR="00882A32" w:rsidRPr="007131B9" w:rsidRDefault="00882A32" w:rsidP="00882A32">
      <w:pPr>
        <w:pStyle w:val="ListParagraph"/>
        <w:ind w:left="426"/>
        <w:rPr>
          <w:i/>
          <w:lang w:val="en-US"/>
        </w:rPr>
      </w:pPr>
      <w:r w:rsidRPr="007131B9">
        <w:rPr>
          <w:i/>
          <w:lang w:val="en-US"/>
        </w:rPr>
        <w:t>2014</w:t>
      </w:r>
      <w:r w:rsidRPr="007131B9">
        <w:rPr>
          <w:i/>
          <w:lang w:val="en-US"/>
        </w:rPr>
        <w:tab/>
        <w:t>278</w:t>
      </w:r>
    </w:p>
    <w:p w:rsidR="00882A32" w:rsidRPr="007131B9" w:rsidRDefault="00882A32" w:rsidP="00882A32">
      <w:pPr>
        <w:pStyle w:val="ListParagraph"/>
        <w:ind w:left="426"/>
        <w:rPr>
          <w:i/>
          <w:lang w:val="en-US"/>
        </w:rPr>
      </w:pPr>
      <w:r w:rsidRPr="007131B9">
        <w:rPr>
          <w:i/>
          <w:lang w:val="en-US"/>
        </w:rPr>
        <w:t>2015</w:t>
      </w:r>
      <w:r w:rsidRPr="007131B9">
        <w:rPr>
          <w:i/>
          <w:lang w:val="en-US"/>
        </w:rPr>
        <w:tab/>
        <w:t>405</w:t>
      </w:r>
      <w:r w:rsidRPr="007131B9">
        <w:rPr>
          <w:i/>
          <w:lang w:val="en-US"/>
        </w:rPr>
        <w:tab/>
      </w:r>
      <w:r w:rsidRPr="007131B9">
        <w:rPr>
          <w:i/>
          <w:lang w:val="en-US"/>
        </w:rPr>
        <w:tab/>
      </w:r>
      <w:r w:rsidRPr="007131B9">
        <w:rPr>
          <w:i/>
          <w:lang w:val="en-US"/>
        </w:rPr>
        <w:tab/>
      </w:r>
    </w:p>
    <w:p w:rsidR="00882A32" w:rsidRPr="007131B9" w:rsidRDefault="00882A32" w:rsidP="00882A32">
      <w:pPr>
        <w:pStyle w:val="ListParagraph"/>
        <w:ind w:left="426"/>
        <w:rPr>
          <w:i/>
          <w:lang w:val="en-US"/>
        </w:rPr>
      </w:pPr>
      <w:r w:rsidRPr="007131B9">
        <w:rPr>
          <w:i/>
          <w:lang w:val="en-US"/>
        </w:rPr>
        <w:t>2016/17</w:t>
      </w:r>
      <w:r w:rsidRPr="007131B9">
        <w:rPr>
          <w:i/>
          <w:lang w:val="en-US"/>
        </w:rPr>
        <w:tab/>
        <w:t>356</w:t>
      </w:r>
    </w:p>
    <w:p w:rsidR="00882A32" w:rsidRPr="007131B9" w:rsidRDefault="00882A32" w:rsidP="00882A32">
      <w:pPr>
        <w:pStyle w:val="ListParagraph"/>
        <w:ind w:left="426"/>
        <w:rPr>
          <w:b/>
          <w:i/>
          <w:lang w:val="en-US"/>
        </w:rPr>
      </w:pPr>
      <w:r w:rsidRPr="007131B9">
        <w:rPr>
          <w:b/>
          <w:i/>
          <w:lang w:val="en-US"/>
        </w:rPr>
        <w:t>Total</w:t>
      </w:r>
      <w:r w:rsidRPr="007131B9">
        <w:rPr>
          <w:b/>
          <w:i/>
          <w:lang w:val="en-US"/>
        </w:rPr>
        <w:tab/>
        <w:t>1081</w:t>
      </w:r>
    </w:p>
    <w:p w:rsidR="00882A32" w:rsidRPr="007131B9" w:rsidRDefault="00882A32" w:rsidP="00882A32">
      <w:pPr>
        <w:pStyle w:val="ListParagraph"/>
        <w:spacing w:after="0"/>
        <w:ind w:left="426"/>
        <w:rPr>
          <w:i/>
        </w:rPr>
      </w:pPr>
    </w:p>
    <w:p w:rsidR="00882A32" w:rsidRPr="007131B9" w:rsidRDefault="00882A32" w:rsidP="00882A32">
      <w:pPr>
        <w:pStyle w:val="ListParagraph"/>
        <w:spacing w:after="0"/>
        <w:ind w:left="426"/>
        <w:rPr>
          <w:i/>
        </w:rPr>
      </w:pPr>
      <w:r w:rsidRPr="007131B9">
        <w:rPr>
          <w:i/>
        </w:rPr>
        <w:t>2886 – 1081 = 1805</w:t>
      </w:r>
    </w:p>
    <w:p w:rsidR="00882A32" w:rsidRPr="007131B9" w:rsidRDefault="00882A32" w:rsidP="00882A32">
      <w:pPr>
        <w:pStyle w:val="ListParagraph"/>
        <w:spacing w:after="0"/>
        <w:ind w:left="426"/>
        <w:rPr>
          <w:i/>
        </w:rPr>
      </w:pPr>
    </w:p>
    <w:p w:rsidR="00882A32" w:rsidRPr="007131B9" w:rsidRDefault="00882A32" w:rsidP="00882A32">
      <w:pPr>
        <w:pStyle w:val="ListParagraph"/>
        <w:spacing w:after="0"/>
        <w:ind w:left="426"/>
        <w:rPr>
          <w:b/>
          <w:i/>
        </w:rPr>
      </w:pPr>
      <w:r w:rsidRPr="007131B9">
        <w:rPr>
          <w:b/>
          <w:i/>
        </w:rPr>
        <w:t>This leaves a shortfall of homes of 1805.</w:t>
      </w:r>
    </w:p>
    <w:p w:rsidR="00882A32" w:rsidRPr="007131B9" w:rsidRDefault="00882A32" w:rsidP="00882A32">
      <w:pPr>
        <w:pStyle w:val="ListParagraph"/>
        <w:spacing w:after="0"/>
        <w:ind w:left="426"/>
        <w:rPr>
          <w:i/>
        </w:rPr>
      </w:pPr>
    </w:p>
    <w:p w:rsidR="00882A32" w:rsidRPr="007131B9" w:rsidRDefault="00882A32" w:rsidP="00882A32">
      <w:pPr>
        <w:pStyle w:val="ListParagraph"/>
        <w:spacing w:after="0"/>
        <w:ind w:left="426"/>
        <w:rPr>
          <w:i/>
        </w:rPr>
      </w:pPr>
      <w:r w:rsidRPr="007131B9">
        <w:rPr>
          <w:i/>
        </w:rPr>
        <w:t xml:space="preserve">Rebasing the housing target to run from March 2017 to 2031.  This would mean 14 years remaining in the life of the plan or 481 x 14 = 6743.  Add onto that the shortfall of homes from the years 2011 – end of February 2017. </w:t>
      </w:r>
    </w:p>
    <w:p w:rsidR="00882A32" w:rsidRPr="007131B9" w:rsidRDefault="00882A32" w:rsidP="00882A32">
      <w:pPr>
        <w:pStyle w:val="ListParagraph"/>
        <w:spacing w:after="0"/>
        <w:ind w:left="426"/>
        <w:rPr>
          <w:i/>
        </w:rPr>
      </w:pPr>
      <w:r w:rsidRPr="007131B9">
        <w:rPr>
          <w:i/>
        </w:rPr>
        <w:t xml:space="preserve"> </w:t>
      </w:r>
    </w:p>
    <w:p w:rsidR="00882A32" w:rsidRPr="007131B9" w:rsidRDefault="00882A32" w:rsidP="00817404">
      <w:pPr>
        <w:pStyle w:val="ListParagraph"/>
        <w:spacing w:after="0"/>
        <w:ind w:left="426"/>
        <w:rPr>
          <w:i/>
        </w:rPr>
      </w:pPr>
      <w:r w:rsidRPr="007131B9">
        <w:rPr>
          <w:b/>
          <w:i/>
        </w:rPr>
        <w:t>6743 + 1805 = 7819</w:t>
      </w:r>
      <w:r w:rsidRPr="007131B9">
        <w:rPr>
          <w:i/>
        </w:rPr>
        <w:t>.</w:t>
      </w:r>
    </w:p>
    <w:p w:rsidR="00421A33" w:rsidRPr="007131B9" w:rsidRDefault="00421A33" w:rsidP="00817404">
      <w:pPr>
        <w:pStyle w:val="ListParagraph"/>
        <w:spacing w:after="0"/>
        <w:ind w:left="426"/>
        <w:rPr>
          <w:i/>
        </w:rPr>
      </w:pPr>
    </w:p>
    <w:p w:rsidR="00421A33" w:rsidRPr="007131B9" w:rsidRDefault="00421A33" w:rsidP="00817404">
      <w:pPr>
        <w:pStyle w:val="ListParagraph"/>
        <w:spacing w:after="0"/>
        <w:ind w:left="426"/>
        <w:rPr>
          <w:i/>
        </w:rPr>
      </w:pPr>
      <w:r w:rsidRPr="007131B9">
        <w:rPr>
          <w:i/>
        </w:rPr>
        <w:t>The supply from Inland commitments, Coastal Commitments and Inland allocations is set out below;</w:t>
      </w:r>
    </w:p>
    <w:p w:rsidR="00421A33" w:rsidRPr="007131B9" w:rsidRDefault="00421A33" w:rsidP="00817404">
      <w:pPr>
        <w:pStyle w:val="ListParagraph"/>
        <w:spacing w:after="0"/>
        <w:ind w:left="426"/>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4"/>
        <w:gridCol w:w="2532"/>
      </w:tblGrid>
      <w:tr w:rsidR="007131B9" w:rsidRPr="007131B9" w:rsidTr="00995941">
        <w:trPr>
          <w:trHeight w:val="300"/>
        </w:trPr>
        <w:tc>
          <w:tcPr>
            <w:tcW w:w="3596" w:type="pct"/>
            <w:shd w:val="clear" w:color="auto" w:fill="auto"/>
            <w:hideMark/>
          </w:tcPr>
          <w:p w:rsidR="00421A33" w:rsidRPr="007131B9" w:rsidRDefault="00421A33" w:rsidP="00421A33">
            <w:pPr>
              <w:pStyle w:val="ListParagraph"/>
              <w:spacing w:after="0"/>
              <w:ind w:left="426"/>
              <w:rPr>
                <w:i/>
              </w:rPr>
            </w:pPr>
            <w:r w:rsidRPr="007131B9">
              <w:rPr>
                <w:i/>
              </w:rPr>
              <w:t>Commitments inland</w:t>
            </w:r>
          </w:p>
        </w:tc>
        <w:tc>
          <w:tcPr>
            <w:tcW w:w="1404" w:type="pct"/>
            <w:shd w:val="clear" w:color="auto" w:fill="auto"/>
            <w:noWrap/>
            <w:hideMark/>
          </w:tcPr>
          <w:p w:rsidR="00421A33" w:rsidRPr="00340B04" w:rsidRDefault="00340B04" w:rsidP="00340B04">
            <w:pPr>
              <w:spacing w:after="0"/>
              <w:jc w:val="right"/>
              <w:rPr>
                <w:i/>
              </w:rPr>
            </w:pPr>
            <w:r>
              <w:rPr>
                <w:i/>
              </w:rPr>
              <w:t>3118</w:t>
            </w:r>
          </w:p>
        </w:tc>
      </w:tr>
      <w:tr w:rsidR="007131B9" w:rsidRPr="007131B9" w:rsidTr="00995941">
        <w:trPr>
          <w:trHeight w:val="300"/>
        </w:trPr>
        <w:tc>
          <w:tcPr>
            <w:tcW w:w="3596" w:type="pct"/>
            <w:shd w:val="clear" w:color="auto" w:fill="auto"/>
            <w:hideMark/>
          </w:tcPr>
          <w:p w:rsidR="00421A33" w:rsidRPr="007131B9" w:rsidRDefault="00421A33" w:rsidP="00421A33">
            <w:pPr>
              <w:pStyle w:val="ListParagraph"/>
              <w:spacing w:after="0"/>
              <w:ind w:left="426"/>
              <w:rPr>
                <w:i/>
              </w:rPr>
            </w:pPr>
            <w:r w:rsidRPr="007131B9">
              <w:rPr>
                <w:i/>
              </w:rPr>
              <w:t>Commitments coastal</w:t>
            </w:r>
          </w:p>
        </w:tc>
        <w:tc>
          <w:tcPr>
            <w:tcW w:w="1404" w:type="pct"/>
            <w:shd w:val="clear" w:color="auto" w:fill="auto"/>
            <w:noWrap/>
            <w:hideMark/>
          </w:tcPr>
          <w:p w:rsidR="00421A33" w:rsidRPr="007131B9" w:rsidRDefault="00EF3551" w:rsidP="00340B04">
            <w:pPr>
              <w:pStyle w:val="ListParagraph"/>
              <w:spacing w:after="0"/>
              <w:ind w:left="426"/>
              <w:jc w:val="right"/>
              <w:rPr>
                <w:i/>
              </w:rPr>
            </w:pPr>
            <w:r w:rsidRPr="007131B9">
              <w:rPr>
                <w:i/>
              </w:rPr>
              <w:t>1262</w:t>
            </w:r>
          </w:p>
        </w:tc>
      </w:tr>
      <w:tr w:rsidR="007131B9" w:rsidRPr="007131B9" w:rsidTr="00995941">
        <w:trPr>
          <w:trHeight w:val="300"/>
        </w:trPr>
        <w:tc>
          <w:tcPr>
            <w:tcW w:w="3596" w:type="pct"/>
            <w:shd w:val="clear" w:color="auto" w:fill="auto"/>
            <w:hideMark/>
          </w:tcPr>
          <w:p w:rsidR="00421A33" w:rsidRPr="007131B9" w:rsidRDefault="00421A33" w:rsidP="00421A33">
            <w:pPr>
              <w:pStyle w:val="ListParagraph"/>
              <w:spacing w:after="0"/>
              <w:ind w:left="426"/>
              <w:rPr>
                <w:i/>
              </w:rPr>
            </w:pPr>
            <w:r w:rsidRPr="007131B9">
              <w:rPr>
                <w:i/>
              </w:rPr>
              <w:t>Inland allocations as set out in Table B</w:t>
            </w:r>
          </w:p>
        </w:tc>
        <w:tc>
          <w:tcPr>
            <w:tcW w:w="1404" w:type="pct"/>
            <w:shd w:val="clear" w:color="auto" w:fill="auto"/>
            <w:noWrap/>
            <w:hideMark/>
          </w:tcPr>
          <w:p w:rsidR="00421A33" w:rsidRPr="007131B9" w:rsidRDefault="00EB33E9" w:rsidP="00340B04">
            <w:pPr>
              <w:pStyle w:val="ListParagraph"/>
              <w:spacing w:after="0"/>
              <w:ind w:left="426"/>
              <w:jc w:val="right"/>
              <w:rPr>
                <w:i/>
              </w:rPr>
            </w:pPr>
            <w:r w:rsidRPr="007131B9">
              <w:rPr>
                <w:i/>
              </w:rPr>
              <w:t>4170</w:t>
            </w:r>
          </w:p>
        </w:tc>
      </w:tr>
      <w:tr w:rsidR="007131B9" w:rsidRPr="007131B9" w:rsidTr="00995941">
        <w:trPr>
          <w:trHeight w:val="403"/>
        </w:trPr>
        <w:tc>
          <w:tcPr>
            <w:tcW w:w="3596" w:type="pct"/>
            <w:shd w:val="clear" w:color="auto" w:fill="auto"/>
          </w:tcPr>
          <w:p w:rsidR="00421A33" w:rsidRPr="007131B9" w:rsidRDefault="00421A33" w:rsidP="00421A33">
            <w:pPr>
              <w:pStyle w:val="ListParagraph"/>
              <w:spacing w:after="0"/>
              <w:ind w:left="426"/>
              <w:rPr>
                <w:b/>
                <w:bCs/>
                <w:i/>
              </w:rPr>
            </w:pPr>
          </w:p>
        </w:tc>
        <w:tc>
          <w:tcPr>
            <w:tcW w:w="1404" w:type="pct"/>
            <w:shd w:val="clear" w:color="auto" w:fill="auto"/>
            <w:noWrap/>
          </w:tcPr>
          <w:p w:rsidR="00421A33" w:rsidRPr="007131B9" w:rsidRDefault="00421A33" w:rsidP="00340B04">
            <w:pPr>
              <w:pStyle w:val="ListParagraph"/>
              <w:spacing w:after="0"/>
              <w:ind w:left="426"/>
              <w:jc w:val="right"/>
              <w:rPr>
                <w:b/>
                <w:bCs/>
                <w:i/>
              </w:rPr>
            </w:pPr>
          </w:p>
        </w:tc>
      </w:tr>
      <w:tr w:rsidR="00421A33" w:rsidRPr="007131B9" w:rsidTr="00995941">
        <w:trPr>
          <w:trHeight w:val="300"/>
        </w:trPr>
        <w:tc>
          <w:tcPr>
            <w:tcW w:w="3596" w:type="pct"/>
            <w:shd w:val="clear" w:color="auto" w:fill="auto"/>
            <w:hideMark/>
          </w:tcPr>
          <w:p w:rsidR="00421A33" w:rsidRPr="007131B9" w:rsidRDefault="00340B04" w:rsidP="00421A33">
            <w:pPr>
              <w:pStyle w:val="ListParagraph"/>
              <w:spacing w:after="0"/>
              <w:ind w:left="426"/>
              <w:rPr>
                <w:b/>
                <w:bCs/>
                <w:i/>
              </w:rPr>
            </w:pPr>
            <w:r>
              <w:rPr>
                <w:b/>
                <w:bCs/>
                <w:i/>
              </w:rPr>
              <w:t>Total – This includes a 9</w:t>
            </w:r>
            <w:r w:rsidR="00421A33" w:rsidRPr="007131B9">
              <w:rPr>
                <w:b/>
                <w:bCs/>
                <w:i/>
              </w:rPr>
              <w:t xml:space="preserve">.0% buffer against the housing requirement; </w:t>
            </w:r>
          </w:p>
        </w:tc>
        <w:tc>
          <w:tcPr>
            <w:tcW w:w="1404" w:type="pct"/>
            <w:shd w:val="clear" w:color="auto" w:fill="auto"/>
            <w:noWrap/>
            <w:hideMark/>
          </w:tcPr>
          <w:p w:rsidR="00421A33" w:rsidRPr="007131B9" w:rsidRDefault="00340B04" w:rsidP="00340B04">
            <w:pPr>
              <w:pStyle w:val="ListParagraph"/>
              <w:spacing w:after="0"/>
              <w:ind w:left="426"/>
              <w:jc w:val="right"/>
              <w:rPr>
                <w:b/>
                <w:bCs/>
                <w:i/>
              </w:rPr>
            </w:pPr>
            <w:r>
              <w:rPr>
                <w:b/>
                <w:bCs/>
                <w:i/>
              </w:rPr>
              <w:t>8550</w:t>
            </w:r>
          </w:p>
        </w:tc>
      </w:tr>
    </w:tbl>
    <w:p w:rsidR="00421A33" w:rsidRPr="007131B9" w:rsidRDefault="00421A33" w:rsidP="00817404">
      <w:pPr>
        <w:pStyle w:val="ListParagraph"/>
        <w:spacing w:after="0"/>
        <w:ind w:left="426"/>
        <w:rPr>
          <w:i/>
        </w:rPr>
      </w:pPr>
    </w:p>
    <w:p w:rsidR="00861523" w:rsidRPr="007131B9" w:rsidRDefault="00861523" w:rsidP="00861523">
      <w:pPr>
        <w:spacing w:after="0"/>
        <w:ind w:left="426" w:hanging="426"/>
      </w:pPr>
    </w:p>
    <w:p w:rsidR="00421A33" w:rsidRPr="007131B9" w:rsidRDefault="00421A33" w:rsidP="00861523">
      <w:pPr>
        <w:spacing w:after="0"/>
        <w:ind w:left="426" w:hanging="426"/>
        <w:rPr>
          <w:i/>
        </w:rPr>
      </w:pPr>
      <w:r w:rsidRPr="007131B9">
        <w:tab/>
      </w:r>
      <w:r w:rsidR="009F7856" w:rsidRPr="007131B9">
        <w:rPr>
          <w:i/>
        </w:rPr>
        <w:t>Given the range of policies in the Plan which allows windfall, there</w:t>
      </w:r>
      <w:r w:rsidRPr="007131B9">
        <w:rPr>
          <w:i/>
        </w:rPr>
        <w:t xml:space="preserve"> is a</w:t>
      </w:r>
      <w:r w:rsidR="009F7856" w:rsidRPr="007131B9">
        <w:rPr>
          <w:i/>
        </w:rPr>
        <w:t xml:space="preserve"> very</w:t>
      </w:r>
      <w:r w:rsidRPr="007131B9">
        <w:rPr>
          <w:i/>
        </w:rPr>
        <w:t xml:space="preserve"> high probability that more supply will come forward during the plan period from windfall developments, though it is difficult to quantify</w:t>
      </w:r>
      <w:r w:rsidR="009F7856" w:rsidRPr="007131B9">
        <w:rPr>
          <w:i/>
        </w:rPr>
        <w:t xml:space="preserve">.  </w:t>
      </w:r>
      <w:r w:rsidR="0070296F" w:rsidRPr="007131B9">
        <w:rPr>
          <w:i/>
        </w:rPr>
        <w:t xml:space="preserve">At the present time the Council has 253 homes on windfall applications moving toward permission with another 94 waiting for sign off for S106.  </w:t>
      </w:r>
      <w:r w:rsidR="009F7856" w:rsidRPr="007131B9">
        <w:rPr>
          <w:i/>
        </w:rPr>
        <w:t>The following policies support windfall development;</w:t>
      </w:r>
    </w:p>
    <w:p w:rsidR="009F7856" w:rsidRPr="007131B9" w:rsidRDefault="009F7856" w:rsidP="00861523">
      <w:pPr>
        <w:spacing w:after="0"/>
        <w:ind w:left="426" w:hanging="426"/>
        <w:rPr>
          <w:i/>
        </w:rPr>
      </w:pPr>
    </w:p>
    <w:p w:rsidR="009F7856" w:rsidRPr="007131B9" w:rsidRDefault="009F7856" w:rsidP="00861523">
      <w:pPr>
        <w:spacing w:after="0"/>
        <w:ind w:left="426" w:hanging="426"/>
        <w:rPr>
          <w:i/>
        </w:rPr>
      </w:pPr>
      <w:r w:rsidRPr="007131B9">
        <w:rPr>
          <w:i/>
        </w:rPr>
        <w:tab/>
        <w:t>SP3 in inland towns and large villages</w:t>
      </w:r>
    </w:p>
    <w:p w:rsidR="009F7856" w:rsidRPr="007131B9" w:rsidRDefault="009F7856" w:rsidP="00861523">
      <w:pPr>
        <w:spacing w:after="0"/>
        <w:ind w:left="426" w:hanging="426"/>
        <w:rPr>
          <w:i/>
        </w:rPr>
      </w:pPr>
      <w:r w:rsidRPr="007131B9">
        <w:rPr>
          <w:i/>
        </w:rPr>
        <w:tab/>
        <w:t>SP4 in medium and small villages both as infill and on brownfield land</w:t>
      </w:r>
    </w:p>
    <w:p w:rsidR="009F7856" w:rsidRPr="007131B9" w:rsidRDefault="009F7856" w:rsidP="00861523">
      <w:pPr>
        <w:spacing w:after="0"/>
        <w:ind w:left="426" w:hanging="426"/>
        <w:rPr>
          <w:i/>
        </w:rPr>
      </w:pPr>
      <w:r w:rsidRPr="007131B9">
        <w:rPr>
          <w:i/>
        </w:rPr>
        <w:tab/>
        <w:t>SP5 housing for older persons</w:t>
      </w:r>
    </w:p>
    <w:p w:rsidR="009F7856" w:rsidRPr="007131B9" w:rsidRDefault="009F7856" w:rsidP="00861523">
      <w:pPr>
        <w:spacing w:after="0"/>
        <w:ind w:left="426" w:hanging="426"/>
        <w:rPr>
          <w:i/>
        </w:rPr>
      </w:pPr>
      <w:r w:rsidRPr="007131B9">
        <w:rPr>
          <w:i/>
        </w:rPr>
        <w:tab/>
        <w:t>SP8 Rural affordable housing</w:t>
      </w:r>
    </w:p>
    <w:p w:rsidR="009F7856" w:rsidRPr="007131B9" w:rsidRDefault="009F7856" w:rsidP="00861523">
      <w:pPr>
        <w:spacing w:after="0"/>
        <w:ind w:left="426" w:hanging="426"/>
        <w:rPr>
          <w:i/>
        </w:rPr>
      </w:pPr>
      <w:r w:rsidRPr="007131B9">
        <w:rPr>
          <w:i/>
        </w:rPr>
        <w:tab/>
        <w:t>SP9 Single plot exceptions</w:t>
      </w:r>
    </w:p>
    <w:p w:rsidR="009F7856" w:rsidRPr="007131B9" w:rsidRDefault="009F7856" w:rsidP="00861523">
      <w:pPr>
        <w:spacing w:after="0"/>
        <w:ind w:left="426" w:hanging="426"/>
        <w:rPr>
          <w:i/>
        </w:rPr>
      </w:pPr>
      <w:r w:rsidRPr="007131B9">
        <w:rPr>
          <w:i/>
        </w:rPr>
        <w:tab/>
        <w:t>SP18 housing on the coast on brownfield sites</w:t>
      </w:r>
    </w:p>
    <w:p w:rsidR="00421A33" w:rsidRPr="007131B9" w:rsidRDefault="00421A33" w:rsidP="00861523">
      <w:pPr>
        <w:spacing w:after="0"/>
        <w:ind w:left="426" w:hanging="426"/>
        <w:rPr>
          <w:i/>
        </w:rPr>
      </w:pPr>
    </w:p>
    <w:p w:rsidR="00861523" w:rsidRPr="007131B9" w:rsidRDefault="00861523" w:rsidP="00861523">
      <w:pPr>
        <w:pStyle w:val="ListParagraph"/>
        <w:numPr>
          <w:ilvl w:val="0"/>
          <w:numId w:val="2"/>
        </w:numPr>
        <w:spacing w:after="0"/>
        <w:ind w:left="426" w:hanging="426"/>
      </w:pPr>
      <w:r w:rsidRPr="007131B9">
        <w:lastRenderedPageBreak/>
        <w:t>Is the supply of housing sufficient in both the inland and coastal areas to meet relevant plan targets?</w:t>
      </w:r>
    </w:p>
    <w:p w:rsidR="009F7856" w:rsidRPr="007131B9" w:rsidRDefault="009F7856" w:rsidP="009F7856">
      <w:pPr>
        <w:pStyle w:val="ListParagraph"/>
        <w:spacing w:after="0"/>
        <w:ind w:left="426"/>
      </w:pPr>
    </w:p>
    <w:p w:rsidR="009F7856" w:rsidRPr="007131B9" w:rsidRDefault="009F7856" w:rsidP="009F7856">
      <w:pPr>
        <w:pStyle w:val="ListParagraph"/>
        <w:spacing w:after="0"/>
        <w:ind w:left="426"/>
        <w:rPr>
          <w:i/>
        </w:rPr>
      </w:pPr>
      <w:r w:rsidRPr="007131B9">
        <w:rPr>
          <w:i/>
        </w:rPr>
        <w:t>The plan target is 7819, the supply as set out i</w:t>
      </w:r>
      <w:r w:rsidR="00EF3551" w:rsidRPr="007131B9">
        <w:rPr>
          <w:i/>
        </w:rPr>
        <w:t>n answer to question one is</w:t>
      </w:r>
      <w:r w:rsidR="00340B04">
        <w:rPr>
          <w:i/>
        </w:rPr>
        <w:t xml:space="preserve"> 8550</w:t>
      </w:r>
      <w:r w:rsidRPr="007131B9">
        <w:rPr>
          <w:i/>
        </w:rPr>
        <w:t>.  T</w:t>
      </w:r>
      <w:r w:rsidR="00340B04">
        <w:rPr>
          <w:i/>
        </w:rPr>
        <w:t>his leaves a buffer of 9% or 731</w:t>
      </w:r>
      <w:r w:rsidRPr="007131B9">
        <w:rPr>
          <w:i/>
        </w:rPr>
        <w:t>.</w:t>
      </w:r>
      <w:r w:rsidR="0070296F" w:rsidRPr="007131B9">
        <w:rPr>
          <w:i/>
        </w:rPr>
        <w:t xml:space="preserve">  Add to that the 347 homes in </w:t>
      </w:r>
      <w:r w:rsidR="00340B04">
        <w:rPr>
          <w:i/>
        </w:rPr>
        <w:t xml:space="preserve">major </w:t>
      </w:r>
      <w:r w:rsidR="0070296F" w:rsidRPr="007131B9">
        <w:rPr>
          <w:i/>
        </w:rPr>
        <w:t xml:space="preserve">applications in </w:t>
      </w:r>
      <w:r w:rsidR="00340B04">
        <w:rPr>
          <w:i/>
        </w:rPr>
        <w:t xml:space="preserve">windfall in </w:t>
      </w:r>
      <w:r w:rsidR="0070296F" w:rsidRPr="007131B9">
        <w:rPr>
          <w:i/>
        </w:rPr>
        <w:t xml:space="preserve">the pipeline either moving toward an approval or waiting for S106 sign off and that figure rises to </w:t>
      </w:r>
      <w:r w:rsidR="00340B04">
        <w:rPr>
          <w:i/>
        </w:rPr>
        <w:t>1078.</w:t>
      </w:r>
      <w:r w:rsidR="0070296F" w:rsidRPr="007131B9">
        <w:rPr>
          <w:i/>
        </w:rPr>
        <w:t xml:space="preserve"> It is very unlikely that the Council is not going to approve another windfall development over the plan period.  Overall, the Council believes that this is sufficient housing to meet the requirement as set out in the Plan.</w:t>
      </w:r>
    </w:p>
    <w:p w:rsidR="00861523" w:rsidRPr="007131B9" w:rsidRDefault="00861523" w:rsidP="00861523">
      <w:pPr>
        <w:spacing w:after="0"/>
        <w:ind w:left="426" w:hanging="426"/>
      </w:pPr>
    </w:p>
    <w:p w:rsidR="00861523" w:rsidRPr="007131B9" w:rsidRDefault="00861523" w:rsidP="00861523">
      <w:pPr>
        <w:pStyle w:val="ListParagraph"/>
        <w:numPr>
          <w:ilvl w:val="0"/>
          <w:numId w:val="2"/>
        </w:numPr>
        <w:spacing w:after="0"/>
        <w:ind w:left="426" w:hanging="426"/>
      </w:pPr>
      <w:r w:rsidRPr="007131B9">
        <w:t xml:space="preserve">Should the shortfall in housing delivery between 2011 and 2017 be recovered over the next 5 years (‘Sedgefield’) or over the remaining plan lifetime (‘Liverpool’)?  </w:t>
      </w:r>
    </w:p>
    <w:p w:rsidR="00861523" w:rsidRDefault="00861523" w:rsidP="00861523">
      <w:pPr>
        <w:spacing w:after="0"/>
        <w:rPr>
          <w:color w:val="0070C0"/>
        </w:rPr>
      </w:pPr>
    </w:p>
    <w:p w:rsidR="0010688D" w:rsidRDefault="0010688D" w:rsidP="0010688D">
      <w:pPr>
        <w:spacing w:after="0"/>
        <w:ind w:left="426"/>
        <w:rPr>
          <w:i/>
        </w:rPr>
      </w:pPr>
      <w:r w:rsidRPr="0010688D">
        <w:rPr>
          <w:i/>
        </w:rPr>
        <w:t>With regard to the housing trajectory setting out how the Council believes the housing is going to come forward over the period there are two options to consider or a combination of the two.</w:t>
      </w:r>
    </w:p>
    <w:p w:rsidR="0010688D" w:rsidRPr="0010688D" w:rsidRDefault="0010688D" w:rsidP="0010688D">
      <w:pPr>
        <w:spacing w:after="0"/>
        <w:ind w:left="426"/>
        <w:rPr>
          <w:i/>
        </w:rPr>
      </w:pPr>
    </w:p>
    <w:p w:rsidR="0010688D" w:rsidRPr="0010688D" w:rsidRDefault="0010688D" w:rsidP="0010688D">
      <w:pPr>
        <w:numPr>
          <w:ilvl w:val="0"/>
          <w:numId w:val="4"/>
        </w:numPr>
        <w:spacing w:after="0"/>
        <w:rPr>
          <w:i/>
        </w:rPr>
      </w:pPr>
      <w:r w:rsidRPr="0010688D">
        <w:rPr>
          <w:i/>
        </w:rPr>
        <w:t>Liverpool method - spreading the undersupply over the whole plan period, this would equate to 558 homes per year.</w:t>
      </w:r>
    </w:p>
    <w:p w:rsidR="0010688D" w:rsidRPr="0010688D" w:rsidRDefault="0010688D" w:rsidP="0010688D">
      <w:pPr>
        <w:numPr>
          <w:ilvl w:val="0"/>
          <w:numId w:val="4"/>
        </w:numPr>
        <w:spacing w:after="0"/>
        <w:rPr>
          <w:i/>
        </w:rPr>
      </w:pPr>
      <w:r w:rsidRPr="0010688D">
        <w:rPr>
          <w:i/>
        </w:rPr>
        <w:t>Sedgefield method – recovering the undersupply within the first five years.  This would equate to a trajectory as set out below;</w:t>
      </w:r>
    </w:p>
    <w:p w:rsidR="0010688D" w:rsidRPr="0010688D" w:rsidRDefault="0010688D" w:rsidP="0010688D">
      <w:pPr>
        <w:spacing w:after="0"/>
        <w:ind w:left="426"/>
        <w:rPr>
          <w:i/>
        </w:rPr>
      </w:pPr>
    </w:p>
    <w:p w:rsidR="0010688D" w:rsidRPr="0010688D" w:rsidRDefault="00393A8B" w:rsidP="0010688D">
      <w:pPr>
        <w:spacing w:after="0"/>
        <w:ind w:left="426"/>
        <w:rPr>
          <w:i/>
        </w:rPr>
      </w:pPr>
      <w:r>
        <w:rPr>
          <w:i/>
        </w:rPr>
        <w:t>2017 – 2022 = 698</w:t>
      </w:r>
      <w:r w:rsidR="0010688D" w:rsidRPr="0010688D">
        <w:rPr>
          <w:i/>
        </w:rPr>
        <w:t xml:space="preserve"> homes per annum</w:t>
      </w:r>
    </w:p>
    <w:p w:rsidR="0010688D" w:rsidRPr="0010688D" w:rsidRDefault="00393A8B" w:rsidP="0010688D">
      <w:pPr>
        <w:spacing w:after="0"/>
        <w:ind w:left="426"/>
        <w:rPr>
          <w:i/>
        </w:rPr>
      </w:pPr>
      <w:r>
        <w:rPr>
          <w:i/>
        </w:rPr>
        <w:t>2023 – 2027 = 481</w:t>
      </w:r>
      <w:r w:rsidR="0010688D" w:rsidRPr="0010688D">
        <w:rPr>
          <w:i/>
        </w:rPr>
        <w:t xml:space="preserve"> homes per annum</w:t>
      </w:r>
    </w:p>
    <w:p w:rsidR="0010688D" w:rsidRDefault="00393A8B" w:rsidP="0010688D">
      <w:pPr>
        <w:spacing w:after="0"/>
        <w:ind w:left="426"/>
        <w:rPr>
          <w:i/>
        </w:rPr>
      </w:pPr>
      <w:r>
        <w:rPr>
          <w:i/>
        </w:rPr>
        <w:t>2028 – 2031 = 481</w:t>
      </w:r>
      <w:r w:rsidR="0010688D" w:rsidRPr="0010688D">
        <w:rPr>
          <w:i/>
        </w:rPr>
        <w:t xml:space="preserve"> homes per annum</w:t>
      </w:r>
    </w:p>
    <w:p w:rsidR="0010688D" w:rsidRPr="0010688D" w:rsidRDefault="0010688D" w:rsidP="0010688D">
      <w:pPr>
        <w:spacing w:after="0"/>
        <w:ind w:left="426"/>
        <w:rPr>
          <w:i/>
        </w:rPr>
      </w:pPr>
    </w:p>
    <w:p w:rsidR="0010688D" w:rsidRDefault="0010688D" w:rsidP="0010688D">
      <w:pPr>
        <w:spacing w:after="0"/>
        <w:ind w:left="426"/>
        <w:rPr>
          <w:i/>
        </w:rPr>
      </w:pPr>
      <w:r w:rsidRPr="0010688D">
        <w:rPr>
          <w:i/>
        </w:rPr>
        <w:t xml:space="preserve">Given the current situation with completions, the Council believes that the amount of housing set out in the Sedgefield trajectory is unlikely to be completed in the District in </w:t>
      </w:r>
      <w:r w:rsidR="00D57166">
        <w:rPr>
          <w:i/>
        </w:rPr>
        <w:t xml:space="preserve">exactly the same </w:t>
      </w:r>
      <w:r w:rsidRPr="0010688D">
        <w:rPr>
          <w:i/>
        </w:rPr>
        <w:t xml:space="preserve">way it is set out above.  The Housing Trajectory setting out all the commitments and the inland housing allocations shows that there will be a predicted rise in completions in the first five years if development comes forward at the rate that those developing have informed the Council.  </w:t>
      </w:r>
    </w:p>
    <w:p w:rsidR="0010688D" w:rsidRPr="0010688D" w:rsidRDefault="0010688D" w:rsidP="0010688D">
      <w:pPr>
        <w:spacing w:after="0"/>
        <w:ind w:left="426"/>
        <w:rPr>
          <w:i/>
        </w:rPr>
      </w:pPr>
    </w:p>
    <w:p w:rsidR="0010688D" w:rsidRDefault="0010688D" w:rsidP="0010688D">
      <w:pPr>
        <w:spacing w:after="0"/>
        <w:ind w:left="426"/>
        <w:rPr>
          <w:i/>
        </w:rPr>
      </w:pPr>
      <w:r w:rsidRPr="0010688D">
        <w:rPr>
          <w:i/>
        </w:rPr>
        <w:t>However, looking at the present year 2017/2018 it is believed that there will be t</w:t>
      </w:r>
      <w:r w:rsidR="00A5560E">
        <w:rPr>
          <w:i/>
        </w:rPr>
        <w:t>he delivery of approximately 490</w:t>
      </w:r>
      <w:r w:rsidRPr="0010688D">
        <w:rPr>
          <w:i/>
        </w:rPr>
        <w:t xml:space="preserve"> homes.  </w:t>
      </w:r>
      <w:r w:rsidR="00A5560E">
        <w:rPr>
          <w:i/>
        </w:rPr>
        <w:t xml:space="preserve">The evidence presented in the trajectory ED32 shows that there will be a substantial increase in dwellings coming forward in the next 5 years, therefore the Council </w:t>
      </w:r>
      <w:r w:rsidRPr="0010688D">
        <w:rPr>
          <w:i/>
        </w:rPr>
        <w:t>proposes to recover the unders</w:t>
      </w:r>
      <w:r w:rsidR="00A5560E">
        <w:rPr>
          <w:i/>
        </w:rPr>
        <w:t>upply in the first five</w:t>
      </w:r>
      <w:r w:rsidRPr="0010688D">
        <w:rPr>
          <w:i/>
        </w:rPr>
        <w:t xml:space="preserve"> years.</w:t>
      </w:r>
      <w:r w:rsidR="00393A8B">
        <w:rPr>
          <w:i/>
        </w:rPr>
        <w:t xml:space="preserve">  The trajectory is set out below;</w:t>
      </w:r>
    </w:p>
    <w:p w:rsidR="00533C77" w:rsidRDefault="00533C77" w:rsidP="0010688D">
      <w:pPr>
        <w:spacing w:after="0"/>
        <w:ind w:left="426"/>
        <w:rPr>
          <w:i/>
        </w:rPr>
      </w:pPr>
    </w:p>
    <w:p w:rsidR="00533C77" w:rsidRDefault="00533C77" w:rsidP="0010688D">
      <w:pPr>
        <w:spacing w:after="0"/>
        <w:ind w:left="426"/>
        <w:rPr>
          <w:i/>
        </w:rPr>
      </w:pPr>
      <w:r>
        <w:rPr>
          <w:i/>
        </w:rPr>
        <w:t>It is proposed for a main modification to paragraph 19 of Policy SP3 so that the paragraph reads as follows;</w:t>
      </w:r>
    </w:p>
    <w:p w:rsidR="00533C77" w:rsidRDefault="00533C77" w:rsidP="0010688D">
      <w:pPr>
        <w:spacing w:after="0"/>
        <w:ind w:left="426"/>
        <w:rPr>
          <w:i/>
        </w:rPr>
      </w:pPr>
    </w:p>
    <w:p w:rsidR="00533C77" w:rsidRPr="00533C77" w:rsidRDefault="00533C77" w:rsidP="00533C77">
      <w:pPr>
        <w:ind w:left="426"/>
        <w:contextualSpacing/>
        <w:rPr>
          <w:rFonts w:eastAsia="Times New Roman" w:cs="Times New Roman"/>
          <w:i/>
          <w:noProof/>
          <w:sz w:val="24"/>
          <w:szCs w:val="24"/>
          <w:lang w:eastAsia="en-GB"/>
        </w:rPr>
      </w:pPr>
      <w:r w:rsidRPr="00533C77">
        <w:rPr>
          <w:rFonts w:eastAsia="Times New Roman" w:cs="Times New Roman"/>
          <w:i/>
          <w:noProof/>
          <w:sz w:val="24"/>
          <w:szCs w:val="24"/>
          <w:lang w:eastAsia="en-GB"/>
        </w:rPr>
        <w:t xml:space="preserve">The Council will allocate sites in the Settlement Proposals Document </w:t>
      </w:r>
      <w:r w:rsidRPr="00533C77">
        <w:rPr>
          <w:rFonts w:eastAsia="Times New Roman" w:cs="Times New Roman"/>
          <w:i/>
          <w:noProof/>
          <w:color w:val="2E74B5" w:themeColor="accent1" w:themeShade="BF"/>
          <w:sz w:val="24"/>
          <w:szCs w:val="24"/>
          <w:lang w:eastAsia="en-GB"/>
        </w:rPr>
        <w:t xml:space="preserve">along with existing commitments </w:t>
      </w:r>
      <w:r w:rsidRPr="00533C77">
        <w:rPr>
          <w:rFonts w:eastAsia="Times New Roman" w:cs="Times New Roman"/>
          <w:i/>
          <w:noProof/>
          <w:sz w:val="24"/>
          <w:szCs w:val="24"/>
          <w:lang w:eastAsia="en-GB"/>
        </w:rPr>
        <w:t xml:space="preserve">for the phased delivery of the </w:t>
      </w:r>
      <w:r w:rsidRPr="00533C77">
        <w:rPr>
          <w:rFonts w:eastAsia="Times New Roman" w:cs="Times New Roman"/>
          <w:i/>
          <w:strike/>
          <w:noProof/>
          <w:color w:val="FF0000"/>
          <w:sz w:val="24"/>
          <w:szCs w:val="24"/>
          <w:lang w:eastAsia="en-GB"/>
        </w:rPr>
        <w:t>7768</w:t>
      </w:r>
      <w:r w:rsidRPr="00533C77">
        <w:rPr>
          <w:rFonts w:eastAsia="Times New Roman" w:cs="Times New Roman"/>
          <w:i/>
          <w:noProof/>
          <w:sz w:val="24"/>
          <w:szCs w:val="24"/>
          <w:lang w:eastAsia="en-GB"/>
        </w:rPr>
        <w:t xml:space="preserve"> </w:t>
      </w:r>
      <w:r w:rsidRPr="00533C77">
        <w:rPr>
          <w:rFonts w:eastAsia="Times New Roman" w:cs="Times New Roman"/>
          <w:i/>
          <w:noProof/>
          <w:color w:val="2E74B5" w:themeColor="accent1" w:themeShade="BF"/>
          <w:sz w:val="24"/>
          <w:szCs w:val="24"/>
          <w:lang w:eastAsia="en-GB"/>
        </w:rPr>
        <w:t>7819</w:t>
      </w:r>
      <w:r w:rsidRPr="00533C77">
        <w:rPr>
          <w:rFonts w:eastAsia="Times New Roman" w:cs="Times New Roman"/>
          <w:i/>
          <w:noProof/>
          <w:sz w:val="24"/>
          <w:szCs w:val="24"/>
          <w:lang w:eastAsia="en-GB"/>
        </w:rPr>
        <w:t xml:space="preserve"> housing target including the undersupply </w:t>
      </w:r>
      <w:r w:rsidRPr="00533C77">
        <w:rPr>
          <w:rFonts w:eastAsia="Times New Roman" w:cs="Times New Roman"/>
          <w:i/>
          <w:noProof/>
          <w:color w:val="2E74B5" w:themeColor="accent1" w:themeShade="BF"/>
          <w:sz w:val="24"/>
          <w:szCs w:val="24"/>
          <w:lang w:eastAsia="en-GB"/>
        </w:rPr>
        <w:t xml:space="preserve">of housing </w:t>
      </w:r>
      <w:r w:rsidRPr="00533C77">
        <w:rPr>
          <w:rFonts w:eastAsia="Times New Roman" w:cs="Times New Roman"/>
          <w:i/>
          <w:noProof/>
          <w:sz w:val="24"/>
          <w:szCs w:val="24"/>
          <w:lang w:eastAsia="en-GB"/>
        </w:rPr>
        <w:t>over the following trajectory;</w:t>
      </w:r>
    </w:p>
    <w:p w:rsidR="0010688D" w:rsidRPr="0010688D" w:rsidRDefault="0010688D" w:rsidP="0010688D">
      <w:pPr>
        <w:spacing w:after="0"/>
        <w:ind w:left="426"/>
        <w:rPr>
          <w:i/>
        </w:rPr>
      </w:pPr>
    </w:p>
    <w:tbl>
      <w:tblPr>
        <w:tblW w:w="7274" w:type="dxa"/>
        <w:tblInd w:w="870" w:type="dxa"/>
        <w:tblLook w:val="04A0" w:firstRow="1" w:lastRow="0" w:firstColumn="1" w:lastColumn="0" w:noHBand="0" w:noVBand="1"/>
      </w:tblPr>
      <w:tblGrid>
        <w:gridCol w:w="2322"/>
        <w:gridCol w:w="1631"/>
        <w:gridCol w:w="1819"/>
        <w:gridCol w:w="1502"/>
      </w:tblGrid>
      <w:tr w:rsidR="00A5560E" w:rsidRPr="00A5560E" w:rsidTr="00A5560E">
        <w:trPr>
          <w:trHeight w:val="33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2017/18</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A5560E" w:rsidRPr="00A5560E" w:rsidRDefault="00A5560E" w:rsidP="00A5560E">
            <w:pPr>
              <w:spacing w:after="0" w:line="240" w:lineRule="auto"/>
              <w:jc w:val="right"/>
              <w:rPr>
                <w:rFonts w:ascii="Calibri" w:eastAsia="Times New Roman" w:hAnsi="Calibri" w:cs="Times New Roman"/>
                <w:i/>
                <w:iCs/>
                <w:color w:val="2E74B5" w:themeColor="accent1" w:themeShade="BF"/>
                <w:sz w:val="20"/>
                <w:szCs w:val="20"/>
                <w:lang w:eastAsia="en-GB"/>
              </w:rPr>
            </w:pPr>
            <w:r w:rsidRPr="00A5560E">
              <w:rPr>
                <w:rFonts w:ascii="Calibri" w:eastAsia="Times New Roman" w:hAnsi="Calibri" w:cs="Times New Roman"/>
                <w:i/>
                <w:iCs/>
                <w:color w:val="2E74B5" w:themeColor="accent1" w:themeShade="BF"/>
                <w:sz w:val="20"/>
                <w:szCs w:val="20"/>
                <w:lang w:eastAsia="en-GB"/>
              </w:rPr>
              <w:t>490</w:t>
            </w:r>
          </w:p>
        </w:tc>
        <w:tc>
          <w:tcPr>
            <w:tcW w:w="1819" w:type="dxa"/>
            <w:tcBorders>
              <w:top w:val="single" w:sz="4" w:space="0" w:color="auto"/>
              <w:left w:val="nil"/>
              <w:bottom w:val="single" w:sz="4" w:space="0" w:color="auto"/>
              <w:right w:val="single" w:sz="4" w:space="0" w:color="auto"/>
            </w:tcBorders>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2022/23</w:t>
            </w:r>
          </w:p>
        </w:tc>
        <w:tc>
          <w:tcPr>
            <w:tcW w:w="1502" w:type="dxa"/>
            <w:tcBorders>
              <w:top w:val="single" w:sz="4" w:space="0" w:color="auto"/>
              <w:left w:val="nil"/>
              <w:bottom w:val="single" w:sz="4" w:space="0" w:color="auto"/>
              <w:right w:val="single" w:sz="4" w:space="0" w:color="auto"/>
            </w:tcBorders>
            <w:vAlign w:val="bottom"/>
          </w:tcPr>
          <w:p w:rsidR="00A5560E" w:rsidRPr="00A5560E" w:rsidRDefault="00A5560E" w:rsidP="00A5560E">
            <w:pPr>
              <w:spacing w:after="0" w:line="240" w:lineRule="auto"/>
              <w:jc w:val="right"/>
              <w:rPr>
                <w:rFonts w:asciiTheme="minorHAnsi" w:eastAsia="Times New Roman" w:hAnsiTheme="minorHAnsi" w:cs="Times New Roman"/>
                <w:i/>
                <w:iCs/>
                <w:color w:val="2E74B5" w:themeColor="accent1" w:themeShade="BF"/>
                <w:sz w:val="20"/>
                <w:szCs w:val="20"/>
                <w:lang w:eastAsia="en-GB"/>
              </w:rPr>
            </w:pPr>
            <w:r w:rsidRPr="00A5560E">
              <w:rPr>
                <w:rFonts w:asciiTheme="minorHAnsi" w:eastAsia="Times New Roman" w:hAnsiTheme="minorHAnsi" w:cs="Times New Roman"/>
                <w:i/>
                <w:iCs/>
                <w:color w:val="2E74B5" w:themeColor="accent1" w:themeShade="BF"/>
                <w:sz w:val="20"/>
                <w:szCs w:val="20"/>
                <w:lang w:eastAsia="en-GB"/>
              </w:rPr>
              <w:t>485</w:t>
            </w:r>
          </w:p>
        </w:tc>
      </w:tr>
      <w:tr w:rsidR="00A5560E" w:rsidRPr="00A5560E" w:rsidTr="00A5560E">
        <w:trPr>
          <w:trHeight w:val="335"/>
        </w:trPr>
        <w:tc>
          <w:tcPr>
            <w:tcW w:w="2322" w:type="dxa"/>
            <w:tcBorders>
              <w:top w:val="nil"/>
              <w:left w:val="single" w:sz="4" w:space="0" w:color="auto"/>
              <w:bottom w:val="single" w:sz="4" w:space="0" w:color="auto"/>
              <w:right w:val="single" w:sz="4" w:space="0" w:color="auto"/>
            </w:tcBorders>
            <w:shd w:val="clear" w:color="auto" w:fill="auto"/>
            <w:vAlign w:val="center"/>
            <w:hideMark/>
          </w:tcPr>
          <w:p w:rsidR="00A5560E" w:rsidRPr="00A5560E" w:rsidRDefault="00A5560E" w:rsidP="00A5560E">
            <w:pPr>
              <w:spacing w:after="0" w:line="240" w:lineRule="auto"/>
              <w:jc w:val="both"/>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2018/19</w:t>
            </w:r>
          </w:p>
        </w:tc>
        <w:tc>
          <w:tcPr>
            <w:tcW w:w="1631" w:type="dxa"/>
            <w:tcBorders>
              <w:top w:val="nil"/>
              <w:left w:val="nil"/>
              <w:bottom w:val="single" w:sz="4" w:space="0" w:color="auto"/>
              <w:right w:val="single" w:sz="4" w:space="0" w:color="auto"/>
            </w:tcBorders>
            <w:shd w:val="clear" w:color="auto" w:fill="auto"/>
            <w:noWrap/>
            <w:vAlign w:val="bottom"/>
            <w:hideMark/>
          </w:tcPr>
          <w:p w:rsidR="00A5560E" w:rsidRPr="00A5560E" w:rsidRDefault="00A5560E" w:rsidP="00A5560E">
            <w:pPr>
              <w:spacing w:after="0" w:line="240" w:lineRule="auto"/>
              <w:jc w:val="right"/>
              <w:rPr>
                <w:rFonts w:ascii="Calibri" w:eastAsia="Times New Roman" w:hAnsi="Calibri" w:cs="Times New Roman"/>
                <w:i/>
                <w:iCs/>
                <w:color w:val="2E74B5" w:themeColor="accent1" w:themeShade="BF"/>
                <w:sz w:val="20"/>
                <w:szCs w:val="20"/>
                <w:lang w:eastAsia="en-GB"/>
              </w:rPr>
            </w:pPr>
            <w:r w:rsidRPr="00A5560E">
              <w:rPr>
                <w:rFonts w:ascii="Calibri" w:eastAsia="Times New Roman" w:hAnsi="Calibri" w:cs="Times New Roman"/>
                <w:i/>
                <w:iCs/>
                <w:color w:val="2E74B5" w:themeColor="accent1" w:themeShade="BF"/>
                <w:sz w:val="20"/>
                <w:szCs w:val="20"/>
                <w:lang w:eastAsia="en-GB"/>
              </w:rPr>
              <w:t>749</w:t>
            </w:r>
          </w:p>
        </w:tc>
        <w:tc>
          <w:tcPr>
            <w:tcW w:w="1819" w:type="dxa"/>
            <w:tcBorders>
              <w:top w:val="nil"/>
              <w:left w:val="nil"/>
              <w:bottom w:val="single" w:sz="4" w:space="0" w:color="auto"/>
              <w:right w:val="single" w:sz="4" w:space="0" w:color="auto"/>
            </w:tcBorders>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2023/24</w:t>
            </w:r>
          </w:p>
        </w:tc>
        <w:tc>
          <w:tcPr>
            <w:tcW w:w="1502" w:type="dxa"/>
            <w:tcBorders>
              <w:top w:val="nil"/>
              <w:left w:val="nil"/>
              <w:bottom w:val="single" w:sz="4" w:space="0" w:color="auto"/>
              <w:right w:val="single" w:sz="4" w:space="0" w:color="auto"/>
            </w:tcBorders>
          </w:tcPr>
          <w:p w:rsidR="00A5560E" w:rsidRPr="00A5560E" w:rsidRDefault="00A5560E" w:rsidP="00A5560E">
            <w:pPr>
              <w:spacing w:after="160" w:line="259" w:lineRule="auto"/>
              <w:jc w:val="right"/>
              <w:rPr>
                <w:rFonts w:asciiTheme="minorHAnsi" w:hAnsiTheme="minorHAnsi"/>
                <w:i/>
                <w:color w:val="2E74B5" w:themeColor="accent1" w:themeShade="BF"/>
                <w:sz w:val="20"/>
                <w:szCs w:val="20"/>
              </w:rPr>
            </w:pPr>
            <w:r w:rsidRPr="00A5560E">
              <w:rPr>
                <w:rFonts w:asciiTheme="minorHAnsi" w:hAnsiTheme="minorHAnsi"/>
                <w:i/>
                <w:color w:val="2E74B5" w:themeColor="accent1" w:themeShade="BF"/>
                <w:sz w:val="20"/>
                <w:szCs w:val="20"/>
              </w:rPr>
              <w:t>481</w:t>
            </w:r>
          </w:p>
        </w:tc>
      </w:tr>
      <w:tr w:rsidR="00A5560E" w:rsidRPr="00A5560E" w:rsidTr="00A5560E">
        <w:trPr>
          <w:trHeight w:val="335"/>
        </w:trPr>
        <w:tc>
          <w:tcPr>
            <w:tcW w:w="2322" w:type="dxa"/>
            <w:tcBorders>
              <w:top w:val="nil"/>
              <w:left w:val="single" w:sz="4" w:space="0" w:color="auto"/>
              <w:bottom w:val="single" w:sz="4" w:space="0" w:color="auto"/>
              <w:right w:val="single" w:sz="4" w:space="0" w:color="auto"/>
            </w:tcBorders>
            <w:shd w:val="clear" w:color="auto" w:fill="auto"/>
            <w:vAlign w:val="center"/>
            <w:hideMark/>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2019/20</w:t>
            </w:r>
          </w:p>
        </w:tc>
        <w:tc>
          <w:tcPr>
            <w:tcW w:w="1631" w:type="dxa"/>
            <w:tcBorders>
              <w:top w:val="nil"/>
              <w:left w:val="nil"/>
              <w:bottom w:val="single" w:sz="4" w:space="0" w:color="auto"/>
              <w:right w:val="single" w:sz="4" w:space="0" w:color="auto"/>
            </w:tcBorders>
            <w:shd w:val="clear" w:color="auto" w:fill="auto"/>
            <w:noWrap/>
            <w:vAlign w:val="bottom"/>
            <w:hideMark/>
          </w:tcPr>
          <w:p w:rsidR="00A5560E" w:rsidRPr="00A5560E" w:rsidRDefault="00A5560E" w:rsidP="00A5560E">
            <w:pPr>
              <w:spacing w:after="0" w:line="240" w:lineRule="auto"/>
              <w:jc w:val="right"/>
              <w:rPr>
                <w:rFonts w:ascii="Calibri" w:eastAsia="Times New Roman" w:hAnsi="Calibri" w:cs="Times New Roman"/>
                <w:i/>
                <w:iCs/>
                <w:color w:val="2E74B5" w:themeColor="accent1" w:themeShade="BF"/>
                <w:sz w:val="20"/>
                <w:szCs w:val="20"/>
                <w:lang w:eastAsia="en-GB"/>
              </w:rPr>
            </w:pPr>
            <w:r w:rsidRPr="00A5560E">
              <w:rPr>
                <w:rFonts w:ascii="Calibri" w:eastAsia="Times New Roman" w:hAnsi="Calibri" w:cs="Times New Roman"/>
                <w:i/>
                <w:iCs/>
                <w:color w:val="2E74B5" w:themeColor="accent1" w:themeShade="BF"/>
                <w:sz w:val="20"/>
                <w:szCs w:val="20"/>
                <w:lang w:eastAsia="en-GB"/>
              </w:rPr>
              <w:t>749</w:t>
            </w:r>
          </w:p>
        </w:tc>
        <w:tc>
          <w:tcPr>
            <w:tcW w:w="1819" w:type="dxa"/>
            <w:tcBorders>
              <w:top w:val="nil"/>
              <w:left w:val="nil"/>
              <w:bottom w:val="single" w:sz="4" w:space="0" w:color="auto"/>
              <w:right w:val="single" w:sz="4" w:space="0" w:color="auto"/>
            </w:tcBorders>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2024/25</w:t>
            </w:r>
          </w:p>
        </w:tc>
        <w:tc>
          <w:tcPr>
            <w:tcW w:w="1502" w:type="dxa"/>
            <w:tcBorders>
              <w:top w:val="nil"/>
              <w:left w:val="nil"/>
              <w:bottom w:val="single" w:sz="4" w:space="0" w:color="auto"/>
              <w:right w:val="single" w:sz="4" w:space="0" w:color="auto"/>
            </w:tcBorders>
          </w:tcPr>
          <w:p w:rsidR="00A5560E" w:rsidRPr="00A5560E" w:rsidRDefault="00A5560E" w:rsidP="00A5560E">
            <w:pPr>
              <w:spacing w:after="160" w:line="259" w:lineRule="auto"/>
              <w:jc w:val="right"/>
              <w:rPr>
                <w:rFonts w:asciiTheme="minorHAnsi" w:hAnsiTheme="minorHAnsi"/>
                <w:i/>
                <w:color w:val="2E74B5" w:themeColor="accent1" w:themeShade="BF"/>
                <w:sz w:val="20"/>
                <w:szCs w:val="20"/>
              </w:rPr>
            </w:pPr>
            <w:r w:rsidRPr="00A5560E">
              <w:rPr>
                <w:rFonts w:asciiTheme="minorHAnsi" w:hAnsiTheme="minorHAnsi"/>
                <w:i/>
                <w:color w:val="2E74B5" w:themeColor="accent1" w:themeShade="BF"/>
                <w:sz w:val="20"/>
                <w:szCs w:val="20"/>
              </w:rPr>
              <w:t>481</w:t>
            </w:r>
          </w:p>
        </w:tc>
      </w:tr>
      <w:tr w:rsidR="00A5560E" w:rsidRPr="00A5560E" w:rsidTr="00A5560E">
        <w:trPr>
          <w:trHeight w:val="335"/>
        </w:trPr>
        <w:tc>
          <w:tcPr>
            <w:tcW w:w="2322" w:type="dxa"/>
            <w:tcBorders>
              <w:top w:val="nil"/>
              <w:left w:val="single" w:sz="4" w:space="0" w:color="auto"/>
              <w:bottom w:val="single" w:sz="4" w:space="0" w:color="auto"/>
              <w:right w:val="single" w:sz="4" w:space="0" w:color="auto"/>
            </w:tcBorders>
            <w:shd w:val="clear" w:color="auto" w:fill="auto"/>
            <w:vAlign w:val="center"/>
            <w:hideMark/>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2020/21</w:t>
            </w:r>
          </w:p>
        </w:tc>
        <w:tc>
          <w:tcPr>
            <w:tcW w:w="1631" w:type="dxa"/>
            <w:tcBorders>
              <w:top w:val="nil"/>
              <w:left w:val="nil"/>
              <w:bottom w:val="single" w:sz="4" w:space="0" w:color="auto"/>
              <w:right w:val="single" w:sz="4" w:space="0" w:color="auto"/>
            </w:tcBorders>
            <w:shd w:val="clear" w:color="auto" w:fill="auto"/>
            <w:noWrap/>
            <w:vAlign w:val="bottom"/>
            <w:hideMark/>
          </w:tcPr>
          <w:p w:rsidR="00A5560E" w:rsidRPr="00A5560E" w:rsidRDefault="00A5560E" w:rsidP="00A5560E">
            <w:pPr>
              <w:spacing w:after="0" w:line="240" w:lineRule="auto"/>
              <w:jc w:val="right"/>
              <w:rPr>
                <w:rFonts w:ascii="Calibri" w:eastAsia="Times New Roman" w:hAnsi="Calibri" w:cs="Times New Roman"/>
                <w:i/>
                <w:iCs/>
                <w:color w:val="2E74B5" w:themeColor="accent1" w:themeShade="BF"/>
                <w:sz w:val="20"/>
                <w:szCs w:val="20"/>
                <w:lang w:eastAsia="en-GB"/>
              </w:rPr>
            </w:pPr>
            <w:r w:rsidRPr="00A5560E">
              <w:rPr>
                <w:rFonts w:ascii="Calibri" w:eastAsia="Times New Roman" w:hAnsi="Calibri" w:cs="Times New Roman"/>
                <w:i/>
                <w:iCs/>
                <w:color w:val="2E74B5" w:themeColor="accent1" w:themeShade="BF"/>
                <w:sz w:val="20"/>
                <w:szCs w:val="20"/>
                <w:lang w:eastAsia="en-GB"/>
              </w:rPr>
              <w:t>749</w:t>
            </w:r>
          </w:p>
        </w:tc>
        <w:tc>
          <w:tcPr>
            <w:tcW w:w="1819" w:type="dxa"/>
            <w:tcBorders>
              <w:top w:val="nil"/>
              <w:left w:val="nil"/>
              <w:bottom w:val="single" w:sz="4" w:space="0" w:color="auto"/>
              <w:right w:val="single" w:sz="4" w:space="0" w:color="auto"/>
            </w:tcBorders>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2025/26</w:t>
            </w:r>
          </w:p>
        </w:tc>
        <w:tc>
          <w:tcPr>
            <w:tcW w:w="1502" w:type="dxa"/>
            <w:tcBorders>
              <w:top w:val="nil"/>
              <w:left w:val="nil"/>
              <w:bottom w:val="single" w:sz="4" w:space="0" w:color="auto"/>
              <w:right w:val="single" w:sz="4" w:space="0" w:color="auto"/>
            </w:tcBorders>
          </w:tcPr>
          <w:p w:rsidR="00A5560E" w:rsidRPr="00A5560E" w:rsidRDefault="00A5560E" w:rsidP="00A5560E">
            <w:pPr>
              <w:spacing w:after="160" w:line="259" w:lineRule="auto"/>
              <w:jc w:val="right"/>
              <w:rPr>
                <w:rFonts w:asciiTheme="minorHAnsi" w:hAnsiTheme="minorHAnsi"/>
                <w:i/>
                <w:color w:val="2E74B5" w:themeColor="accent1" w:themeShade="BF"/>
                <w:sz w:val="20"/>
                <w:szCs w:val="20"/>
              </w:rPr>
            </w:pPr>
            <w:r w:rsidRPr="00A5560E">
              <w:rPr>
                <w:rFonts w:asciiTheme="minorHAnsi" w:hAnsiTheme="minorHAnsi"/>
                <w:i/>
                <w:color w:val="2E74B5" w:themeColor="accent1" w:themeShade="BF"/>
                <w:sz w:val="20"/>
                <w:szCs w:val="20"/>
              </w:rPr>
              <w:t>481</w:t>
            </w:r>
          </w:p>
        </w:tc>
      </w:tr>
      <w:tr w:rsidR="00A5560E" w:rsidRPr="00A5560E" w:rsidTr="00A5560E">
        <w:trPr>
          <w:trHeight w:val="335"/>
        </w:trPr>
        <w:tc>
          <w:tcPr>
            <w:tcW w:w="2322" w:type="dxa"/>
            <w:tcBorders>
              <w:top w:val="nil"/>
              <w:left w:val="single" w:sz="4" w:space="0" w:color="auto"/>
              <w:bottom w:val="single" w:sz="4" w:space="0" w:color="auto"/>
              <w:right w:val="single" w:sz="4" w:space="0" w:color="auto"/>
            </w:tcBorders>
            <w:shd w:val="clear" w:color="auto" w:fill="auto"/>
            <w:vAlign w:val="center"/>
            <w:hideMark/>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2021/22</w:t>
            </w:r>
          </w:p>
        </w:tc>
        <w:tc>
          <w:tcPr>
            <w:tcW w:w="1631" w:type="dxa"/>
            <w:tcBorders>
              <w:top w:val="nil"/>
              <w:left w:val="nil"/>
              <w:bottom w:val="single" w:sz="4" w:space="0" w:color="auto"/>
              <w:right w:val="single" w:sz="4" w:space="0" w:color="auto"/>
            </w:tcBorders>
            <w:shd w:val="clear" w:color="auto" w:fill="auto"/>
            <w:noWrap/>
            <w:vAlign w:val="bottom"/>
            <w:hideMark/>
          </w:tcPr>
          <w:p w:rsidR="00A5560E" w:rsidRPr="00A5560E" w:rsidRDefault="00A5560E" w:rsidP="00A5560E">
            <w:pPr>
              <w:spacing w:after="0" w:line="240" w:lineRule="auto"/>
              <w:jc w:val="right"/>
              <w:rPr>
                <w:rFonts w:ascii="Calibri" w:eastAsia="Times New Roman" w:hAnsi="Calibri" w:cs="Times New Roman"/>
                <w:i/>
                <w:iCs/>
                <w:color w:val="2E74B5" w:themeColor="accent1" w:themeShade="BF"/>
                <w:sz w:val="20"/>
                <w:szCs w:val="20"/>
                <w:lang w:eastAsia="en-GB"/>
              </w:rPr>
            </w:pPr>
            <w:r w:rsidRPr="00A5560E">
              <w:rPr>
                <w:rFonts w:ascii="Calibri" w:eastAsia="Times New Roman" w:hAnsi="Calibri" w:cs="Times New Roman"/>
                <w:i/>
                <w:iCs/>
                <w:color w:val="2E74B5" w:themeColor="accent1" w:themeShade="BF"/>
                <w:sz w:val="20"/>
                <w:szCs w:val="20"/>
                <w:lang w:eastAsia="en-GB"/>
              </w:rPr>
              <w:t>749</w:t>
            </w:r>
          </w:p>
        </w:tc>
        <w:tc>
          <w:tcPr>
            <w:tcW w:w="1819" w:type="dxa"/>
            <w:tcBorders>
              <w:top w:val="nil"/>
              <w:left w:val="nil"/>
              <w:bottom w:val="single" w:sz="4" w:space="0" w:color="auto"/>
              <w:right w:val="single" w:sz="4" w:space="0" w:color="auto"/>
            </w:tcBorders>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2026/27</w:t>
            </w:r>
          </w:p>
        </w:tc>
        <w:tc>
          <w:tcPr>
            <w:tcW w:w="1502" w:type="dxa"/>
            <w:tcBorders>
              <w:top w:val="nil"/>
              <w:left w:val="nil"/>
              <w:bottom w:val="single" w:sz="4" w:space="0" w:color="auto"/>
              <w:right w:val="single" w:sz="4" w:space="0" w:color="auto"/>
            </w:tcBorders>
          </w:tcPr>
          <w:p w:rsidR="00A5560E" w:rsidRPr="00A5560E" w:rsidRDefault="00A5560E" w:rsidP="00A5560E">
            <w:pPr>
              <w:spacing w:after="160" w:line="259" w:lineRule="auto"/>
              <w:jc w:val="right"/>
              <w:rPr>
                <w:rFonts w:asciiTheme="minorHAnsi" w:hAnsiTheme="minorHAnsi"/>
                <w:i/>
                <w:color w:val="2E74B5" w:themeColor="accent1" w:themeShade="BF"/>
                <w:sz w:val="20"/>
                <w:szCs w:val="20"/>
              </w:rPr>
            </w:pPr>
            <w:r w:rsidRPr="00A5560E">
              <w:rPr>
                <w:rFonts w:asciiTheme="minorHAnsi" w:hAnsiTheme="minorHAnsi"/>
                <w:i/>
                <w:color w:val="2E74B5" w:themeColor="accent1" w:themeShade="BF"/>
                <w:sz w:val="20"/>
                <w:szCs w:val="20"/>
              </w:rPr>
              <w:t>481</w:t>
            </w:r>
          </w:p>
        </w:tc>
      </w:tr>
      <w:tr w:rsidR="00A5560E" w:rsidRPr="00A5560E" w:rsidTr="00A5560E">
        <w:trPr>
          <w:trHeight w:val="335"/>
        </w:trPr>
        <w:tc>
          <w:tcPr>
            <w:tcW w:w="2322" w:type="dxa"/>
            <w:tcBorders>
              <w:top w:val="nil"/>
              <w:left w:val="single" w:sz="4" w:space="0" w:color="auto"/>
              <w:bottom w:val="single" w:sz="4" w:space="0" w:color="auto"/>
              <w:right w:val="single" w:sz="4" w:space="0" w:color="auto"/>
            </w:tcBorders>
            <w:shd w:val="clear" w:color="auto" w:fill="auto"/>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Total for the period 2017 – 2022</w:t>
            </w:r>
          </w:p>
        </w:tc>
        <w:tc>
          <w:tcPr>
            <w:tcW w:w="1631" w:type="dxa"/>
            <w:tcBorders>
              <w:top w:val="nil"/>
              <w:left w:val="nil"/>
              <w:bottom w:val="single" w:sz="4" w:space="0" w:color="auto"/>
              <w:right w:val="single" w:sz="4" w:space="0" w:color="auto"/>
            </w:tcBorders>
            <w:shd w:val="clear" w:color="auto" w:fill="auto"/>
            <w:noWrap/>
            <w:vAlign w:val="bottom"/>
          </w:tcPr>
          <w:p w:rsidR="00A5560E" w:rsidRPr="00A5560E" w:rsidRDefault="00A5560E" w:rsidP="00A5560E">
            <w:pPr>
              <w:spacing w:after="0" w:line="240" w:lineRule="auto"/>
              <w:jc w:val="right"/>
              <w:rPr>
                <w:rFonts w:ascii="Calibri" w:eastAsia="Times New Roman" w:hAnsi="Calibri" w:cs="Times New Roman"/>
                <w:i/>
                <w:iCs/>
                <w:color w:val="2E74B5" w:themeColor="accent1" w:themeShade="BF"/>
                <w:sz w:val="20"/>
                <w:szCs w:val="20"/>
                <w:lang w:eastAsia="en-GB"/>
              </w:rPr>
            </w:pPr>
            <w:r w:rsidRPr="00A5560E">
              <w:rPr>
                <w:rFonts w:ascii="Calibri" w:eastAsia="Times New Roman" w:hAnsi="Calibri" w:cs="Times New Roman"/>
                <w:i/>
                <w:iCs/>
                <w:color w:val="2E74B5" w:themeColor="accent1" w:themeShade="BF"/>
                <w:sz w:val="20"/>
                <w:szCs w:val="20"/>
                <w:lang w:eastAsia="en-GB"/>
              </w:rPr>
              <w:t>3486</w:t>
            </w:r>
          </w:p>
        </w:tc>
        <w:tc>
          <w:tcPr>
            <w:tcW w:w="1819" w:type="dxa"/>
            <w:tcBorders>
              <w:top w:val="nil"/>
              <w:left w:val="nil"/>
              <w:bottom w:val="single" w:sz="4" w:space="0" w:color="auto"/>
              <w:right w:val="single" w:sz="4" w:space="0" w:color="auto"/>
            </w:tcBorders>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2027/28</w:t>
            </w:r>
          </w:p>
        </w:tc>
        <w:tc>
          <w:tcPr>
            <w:tcW w:w="1502" w:type="dxa"/>
            <w:tcBorders>
              <w:top w:val="nil"/>
              <w:left w:val="nil"/>
              <w:bottom w:val="single" w:sz="4" w:space="0" w:color="auto"/>
              <w:right w:val="single" w:sz="4" w:space="0" w:color="auto"/>
            </w:tcBorders>
          </w:tcPr>
          <w:p w:rsidR="00A5560E" w:rsidRPr="00A5560E" w:rsidRDefault="00A5560E" w:rsidP="00A5560E">
            <w:pPr>
              <w:spacing w:after="160" w:line="259" w:lineRule="auto"/>
              <w:jc w:val="right"/>
              <w:rPr>
                <w:rFonts w:asciiTheme="minorHAnsi" w:hAnsiTheme="minorHAnsi"/>
                <w:i/>
                <w:color w:val="2E74B5" w:themeColor="accent1" w:themeShade="BF"/>
                <w:sz w:val="20"/>
                <w:szCs w:val="20"/>
              </w:rPr>
            </w:pPr>
            <w:r w:rsidRPr="00A5560E">
              <w:rPr>
                <w:rFonts w:asciiTheme="minorHAnsi" w:hAnsiTheme="minorHAnsi"/>
                <w:i/>
                <w:color w:val="2E74B5" w:themeColor="accent1" w:themeShade="BF"/>
                <w:sz w:val="20"/>
                <w:szCs w:val="20"/>
              </w:rPr>
              <w:t>481</w:t>
            </w:r>
          </w:p>
        </w:tc>
      </w:tr>
      <w:tr w:rsidR="00A5560E" w:rsidRPr="00A5560E" w:rsidTr="00A5560E">
        <w:trPr>
          <w:trHeight w:val="335"/>
        </w:trPr>
        <w:tc>
          <w:tcPr>
            <w:tcW w:w="2322" w:type="dxa"/>
            <w:tcBorders>
              <w:top w:val="nil"/>
              <w:left w:val="single" w:sz="4" w:space="0" w:color="auto"/>
              <w:bottom w:val="single" w:sz="4" w:space="0" w:color="auto"/>
              <w:right w:val="single" w:sz="4" w:space="0" w:color="auto"/>
            </w:tcBorders>
            <w:shd w:val="clear" w:color="auto" w:fill="auto"/>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p>
        </w:tc>
        <w:tc>
          <w:tcPr>
            <w:tcW w:w="1631" w:type="dxa"/>
            <w:tcBorders>
              <w:top w:val="nil"/>
              <w:left w:val="nil"/>
              <w:bottom w:val="single" w:sz="4" w:space="0" w:color="auto"/>
              <w:right w:val="single" w:sz="4" w:space="0" w:color="auto"/>
            </w:tcBorders>
            <w:shd w:val="clear" w:color="auto" w:fill="auto"/>
            <w:noWrap/>
            <w:vAlign w:val="bottom"/>
          </w:tcPr>
          <w:p w:rsidR="00A5560E" w:rsidRPr="00A5560E" w:rsidRDefault="00A5560E" w:rsidP="00A5560E">
            <w:pPr>
              <w:spacing w:after="0" w:line="240" w:lineRule="auto"/>
              <w:jc w:val="right"/>
              <w:rPr>
                <w:rFonts w:ascii="Calibri" w:eastAsia="Times New Roman" w:hAnsi="Calibri" w:cs="Times New Roman"/>
                <w:i/>
                <w:iCs/>
                <w:color w:val="2E74B5" w:themeColor="accent1" w:themeShade="BF"/>
                <w:sz w:val="20"/>
                <w:szCs w:val="20"/>
                <w:lang w:eastAsia="en-GB"/>
              </w:rPr>
            </w:pPr>
          </w:p>
        </w:tc>
        <w:tc>
          <w:tcPr>
            <w:tcW w:w="1819" w:type="dxa"/>
            <w:tcBorders>
              <w:top w:val="nil"/>
              <w:left w:val="nil"/>
              <w:bottom w:val="single" w:sz="4" w:space="0" w:color="auto"/>
              <w:right w:val="single" w:sz="4" w:space="0" w:color="auto"/>
            </w:tcBorders>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2028/29</w:t>
            </w:r>
          </w:p>
        </w:tc>
        <w:tc>
          <w:tcPr>
            <w:tcW w:w="1502" w:type="dxa"/>
            <w:tcBorders>
              <w:top w:val="nil"/>
              <w:left w:val="nil"/>
              <w:bottom w:val="single" w:sz="4" w:space="0" w:color="auto"/>
              <w:right w:val="single" w:sz="4" w:space="0" w:color="auto"/>
            </w:tcBorders>
          </w:tcPr>
          <w:p w:rsidR="00A5560E" w:rsidRPr="00A5560E" w:rsidRDefault="00A5560E" w:rsidP="00A5560E">
            <w:pPr>
              <w:spacing w:after="160" w:line="259" w:lineRule="auto"/>
              <w:jc w:val="right"/>
              <w:rPr>
                <w:rFonts w:asciiTheme="minorHAnsi" w:hAnsiTheme="minorHAnsi"/>
                <w:i/>
                <w:color w:val="2E74B5" w:themeColor="accent1" w:themeShade="BF"/>
                <w:sz w:val="20"/>
                <w:szCs w:val="20"/>
              </w:rPr>
            </w:pPr>
            <w:r w:rsidRPr="00A5560E">
              <w:rPr>
                <w:rFonts w:asciiTheme="minorHAnsi" w:hAnsiTheme="minorHAnsi"/>
                <w:i/>
                <w:color w:val="2E74B5" w:themeColor="accent1" w:themeShade="BF"/>
                <w:sz w:val="20"/>
                <w:szCs w:val="20"/>
              </w:rPr>
              <w:t>481</w:t>
            </w:r>
          </w:p>
        </w:tc>
      </w:tr>
      <w:tr w:rsidR="00A5560E" w:rsidRPr="00A5560E" w:rsidTr="00A5560E">
        <w:trPr>
          <w:trHeight w:val="335"/>
        </w:trPr>
        <w:tc>
          <w:tcPr>
            <w:tcW w:w="2322" w:type="dxa"/>
            <w:tcBorders>
              <w:top w:val="nil"/>
              <w:left w:val="single" w:sz="4" w:space="0" w:color="auto"/>
              <w:bottom w:val="single" w:sz="4" w:space="0" w:color="auto"/>
              <w:right w:val="single" w:sz="4" w:space="0" w:color="auto"/>
            </w:tcBorders>
            <w:shd w:val="clear" w:color="auto" w:fill="auto"/>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p>
        </w:tc>
        <w:tc>
          <w:tcPr>
            <w:tcW w:w="1631" w:type="dxa"/>
            <w:tcBorders>
              <w:top w:val="nil"/>
              <w:left w:val="nil"/>
              <w:bottom w:val="single" w:sz="4" w:space="0" w:color="auto"/>
              <w:right w:val="single" w:sz="4" w:space="0" w:color="auto"/>
            </w:tcBorders>
            <w:shd w:val="clear" w:color="auto" w:fill="auto"/>
            <w:noWrap/>
            <w:vAlign w:val="bottom"/>
          </w:tcPr>
          <w:p w:rsidR="00A5560E" w:rsidRPr="00A5560E" w:rsidRDefault="00A5560E" w:rsidP="00A5560E">
            <w:pPr>
              <w:spacing w:after="0" w:line="240" w:lineRule="auto"/>
              <w:jc w:val="right"/>
              <w:rPr>
                <w:rFonts w:ascii="Calibri" w:eastAsia="Times New Roman" w:hAnsi="Calibri" w:cs="Times New Roman"/>
                <w:i/>
                <w:iCs/>
                <w:color w:val="2E74B5" w:themeColor="accent1" w:themeShade="BF"/>
                <w:sz w:val="20"/>
                <w:szCs w:val="20"/>
                <w:lang w:eastAsia="en-GB"/>
              </w:rPr>
            </w:pPr>
          </w:p>
        </w:tc>
        <w:tc>
          <w:tcPr>
            <w:tcW w:w="1819" w:type="dxa"/>
            <w:tcBorders>
              <w:top w:val="nil"/>
              <w:left w:val="nil"/>
              <w:bottom w:val="single" w:sz="4" w:space="0" w:color="auto"/>
              <w:right w:val="single" w:sz="4" w:space="0" w:color="auto"/>
            </w:tcBorders>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2029/30</w:t>
            </w:r>
          </w:p>
        </w:tc>
        <w:tc>
          <w:tcPr>
            <w:tcW w:w="1502" w:type="dxa"/>
            <w:tcBorders>
              <w:top w:val="nil"/>
              <w:left w:val="nil"/>
              <w:bottom w:val="single" w:sz="4" w:space="0" w:color="auto"/>
              <w:right w:val="single" w:sz="4" w:space="0" w:color="auto"/>
            </w:tcBorders>
          </w:tcPr>
          <w:p w:rsidR="00A5560E" w:rsidRPr="00A5560E" w:rsidRDefault="00A5560E" w:rsidP="00A5560E">
            <w:pPr>
              <w:spacing w:after="160" w:line="259" w:lineRule="auto"/>
              <w:jc w:val="right"/>
              <w:rPr>
                <w:rFonts w:asciiTheme="minorHAnsi" w:hAnsiTheme="minorHAnsi"/>
                <w:i/>
                <w:color w:val="2E74B5" w:themeColor="accent1" w:themeShade="BF"/>
                <w:sz w:val="20"/>
                <w:szCs w:val="20"/>
              </w:rPr>
            </w:pPr>
            <w:r w:rsidRPr="00A5560E">
              <w:rPr>
                <w:rFonts w:asciiTheme="minorHAnsi" w:hAnsiTheme="minorHAnsi"/>
                <w:i/>
                <w:color w:val="2E74B5" w:themeColor="accent1" w:themeShade="BF"/>
                <w:sz w:val="20"/>
                <w:szCs w:val="20"/>
              </w:rPr>
              <w:t>481</w:t>
            </w:r>
          </w:p>
        </w:tc>
      </w:tr>
      <w:tr w:rsidR="00A5560E" w:rsidRPr="00A5560E" w:rsidTr="00A5560E">
        <w:trPr>
          <w:trHeight w:val="335"/>
        </w:trPr>
        <w:tc>
          <w:tcPr>
            <w:tcW w:w="2322" w:type="dxa"/>
            <w:tcBorders>
              <w:top w:val="nil"/>
              <w:left w:val="single" w:sz="4" w:space="0" w:color="auto"/>
              <w:bottom w:val="single" w:sz="4" w:space="0" w:color="auto"/>
              <w:right w:val="single" w:sz="4" w:space="0" w:color="auto"/>
            </w:tcBorders>
            <w:shd w:val="clear" w:color="auto" w:fill="auto"/>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p>
        </w:tc>
        <w:tc>
          <w:tcPr>
            <w:tcW w:w="1631" w:type="dxa"/>
            <w:tcBorders>
              <w:top w:val="nil"/>
              <w:left w:val="nil"/>
              <w:bottom w:val="single" w:sz="4" w:space="0" w:color="auto"/>
              <w:right w:val="single" w:sz="4" w:space="0" w:color="auto"/>
            </w:tcBorders>
            <w:shd w:val="clear" w:color="auto" w:fill="auto"/>
            <w:noWrap/>
            <w:vAlign w:val="bottom"/>
          </w:tcPr>
          <w:p w:rsidR="00A5560E" w:rsidRPr="00A5560E" w:rsidRDefault="00A5560E" w:rsidP="00A5560E">
            <w:pPr>
              <w:spacing w:after="0" w:line="240" w:lineRule="auto"/>
              <w:jc w:val="right"/>
              <w:rPr>
                <w:rFonts w:ascii="Calibri" w:eastAsia="Times New Roman" w:hAnsi="Calibri" w:cs="Times New Roman"/>
                <w:i/>
                <w:iCs/>
                <w:color w:val="2E74B5" w:themeColor="accent1" w:themeShade="BF"/>
                <w:sz w:val="20"/>
                <w:szCs w:val="20"/>
                <w:lang w:eastAsia="en-GB"/>
              </w:rPr>
            </w:pPr>
          </w:p>
        </w:tc>
        <w:tc>
          <w:tcPr>
            <w:tcW w:w="1819" w:type="dxa"/>
            <w:tcBorders>
              <w:top w:val="nil"/>
              <w:left w:val="nil"/>
              <w:bottom w:val="single" w:sz="4" w:space="0" w:color="auto"/>
              <w:right w:val="single" w:sz="4" w:space="0" w:color="auto"/>
            </w:tcBorders>
            <w:vAlign w:val="center"/>
          </w:tcPr>
          <w:p w:rsidR="00A5560E" w:rsidRPr="00A5560E" w:rsidRDefault="00A5560E" w:rsidP="00A5560E">
            <w:pPr>
              <w:spacing w:after="0" w:line="240" w:lineRule="auto"/>
              <w:rPr>
                <w:rFonts w:eastAsia="Times New Roman" w:cs="Times New Roman"/>
                <w:i/>
                <w:iCs/>
                <w:color w:val="2E74B5" w:themeColor="accent1" w:themeShade="BF"/>
                <w:sz w:val="20"/>
                <w:szCs w:val="20"/>
                <w:lang w:eastAsia="en-GB"/>
              </w:rPr>
            </w:pPr>
            <w:r w:rsidRPr="00A5560E">
              <w:rPr>
                <w:rFonts w:eastAsia="Times New Roman" w:cs="Times New Roman"/>
                <w:i/>
                <w:iCs/>
                <w:color w:val="2E74B5" w:themeColor="accent1" w:themeShade="BF"/>
                <w:sz w:val="20"/>
                <w:szCs w:val="20"/>
                <w:lang w:eastAsia="en-GB"/>
              </w:rPr>
              <w:t>2030/31</w:t>
            </w:r>
          </w:p>
        </w:tc>
        <w:tc>
          <w:tcPr>
            <w:tcW w:w="1502" w:type="dxa"/>
            <w:tcBorders>
              <w:top w:val="nil"/>
              <w:left w:val="nil"/>
              <w:bottom w:val="single" w:sz="4" w:space="0" w:color="auto"/>
              <w:right w:val="single" w:sz="4" w:space="0" w:color="auto"/>
            </w:tcBorders>
          </w:tcPr>
          <w:p w:rsidR="00A5560E" w:rsidRPr="00A5560E" w:rsidRDefault="00A5560E" w:rsidP="00A5560E">
            <w:pPr>
              <w:spacing w:after="160" w:line="259" w:lineRule="auto"/>
              <w:jc w:val="right"/>
              <w:rPr>
                <w:rFonts w:asciiTheme="minorHAnsi" w:hAnsiTheme="minorHAnsi"/>
                <w:i/>
                <w:color w:val="2E74B5" w:themeColor="accent1" w:themeShade="BF"/>
                <w:sz w:val="20"/>
                <w:szCs w:val="20"/>
              </w:rPr>
            </w:pPr>
            <w:r w:rsidRPr="00A5560E">
              <w:rPr>
                <w:rFonts w:asciiTheme="minorHAnsi" w:hAnsiTheme="minorHAnsi"/>
                <w:i/>
                <w:color w:val="2E74B5" w:themeColor="accent1" w:themeShade="BF"/>
                <w:sz w:val="20"/>
                <w:szCs w:val="20"/>
              </w:rPr>
              <w:t>481</w:t>
            </w:r>
          </w:p>
        </w:tc>
      </w:tr>
    </w:tbl>
    <w:p w:rsidR="0010688D" w:rsidRPr="0010688D" w:rsidRDefault="0010688D" w:rsidP="0010688D">
      <w:pPr>
        <w:spacing w:after="0"/>
        <w:ind w:left="426"/>
        <w:rPr>
          <w:i/>
        </w:rPr>
      </w:pPr>
    </w:p>
    <w:p w:rsidR="00861523" w:rsidRDefault="00A5560E" w:rsidP="00393A8B">
      <w:pPr>
        <w:spacing w:after="0"/>
      </w:pPr>
      <w:r>
        <w:rPr>
          <w:noProof/>
          <w:lang w:eastAsia="en-GB"/>
        </w:rPr>
        <w:drawing>
          <wp:inline distT="0" distB="0" distL="0" distR="0" wp14:anchorId="3755CFC4" wp14:editId="78B4EEB2">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93A8B" w:rsidRDefault="00393A8B" w:rsidP="00861523">
      <w:pPr>
        <w:spacing w:after="0"/>
        <w:rPr>
          <w:b/>
        </w:rPr>
      </w:pPr>
    </w:p>
    <w:p w:rsidR="00393A8B" w:rsidRPr="00533C77" w:rsidRDefault="00393A8B" w:rsidP="00861523">
      <w:pPr>
        <w:spacing w:after="0"/>
        <w:rPr>
          <w:i/>
        </w:rPr>
      </w:pPr>
    </w:p>
    <w:p w:rsidR="00861523" w:rsidRPr="00C80CFD" w:rsidRDefault="00861523" w:rsidP="00861523">
      <w:pPr>
        <w:spacing w:after="0"/>
        <w:rPr>
          <w:b/>
        </w:rPr>
      </w:pPr>
      <w:r w:rsidRPr="00C80CFD">
        <w:rPr>
          <w:b/>
        </w:rPr>
        <w:t>Five year supply of housing sites</w:t>
      </w:r>
    </w:p>
    <w:p w:rsidR="00861523" w:rsidRDefault="00861523" w:rsidP="00861523">
      <w:pPr>
        <w:spacing w:after="0"/>
      </w:pPr>
    </w:p>
    <w:p w:rsidR="00861523" w:rsidRPr="007131B9" w:rsidRDefault="00861523" w:rsidP="00861523">
      <w:pPr>
        <w:pStyle w:val="ListParagraph"/>
        <w:numPr>
          <w:ilvl w:val="0"/>
          <w:numId w:val="1"/>
        </w:numPr>
      </w:pPr>
      <w:r w:rsidRPr="007131B9">
        <w:t>What should the five year requirement be, including a 5% or 20% buffer as appropriate?</w:t>
      </w:r>
    </w:p>
    <w:p w:rsidR="00861523" w:rsidRDefault="00861523" w:rsidP="00861523">
      <w:pPr>
        <w:pStyle w:val="ListParagraph"/>
        <w:ind w:left="360"/>
      </w:pPr>
    </w:p>
    <w:p w:rsidR="00257070" w:rsidRPr="00257070" w:rsidRDefault="00257070" w:rsidP="00257070">
      <w:pPr>
        <w:spacing w:after="160" w:line="259" w:lineRule="auto"/>
        <w:ind w:left="360"/>
        <w:rPr>
          <w:i/>
        </w:rPr>
      </w:pPr>
      <w:r w:rsidRPr="00257070">
        <w:rPr>
          <w:i/>
        </w:rPr>
        <w:t>During the Examination Hearing on the 13</w:t>
      </w:r>
      <w:r w:rsidRPr="00257070">
        <w:rPr>
          <w:i/>
          <w:vertAlign w:val="superscript"/>
        </w:rPr>
        <w:t>th</w:t>
      </w:r>
      <w:r w:rsidRPr="00257070">
        <w:rPr>
          <w:i/>
        </w:rPr>
        <w:t xml:space="preserve"> July it was requested that a table be supplied setting out past delivery targets against completions going back to 2001.  </w:t>
      </w:r>
    </w:p>
    <w:p w:rsidR="00257070" w:rsidRPr="00257070" w:rsidRDefault="00257070" w:rsidP="00257070">
      <w:pPr>
        <w:spacing w:after="160" w:line="259" w:lineRule="auto"/>
        <w:rPr>
          <w:i/>
        </w:rPr>
      </w:pPr>
      <w:r w:rsidRPr="00257070">
        <w:rPr>
          <w:i/>
        </w:rPr>
        <w:t>Please see the table and graph below;</w:t>
      </w:r>
    </w:p>
    <w:tbl>
      <w:tblPr>
        <w:tblStyle w:val="TableGrid"/>
        <w:tblW w:w="0" w:type="auto"/>
        <w:tblLook w:val="04A0" w:firstRow="1" w:lastRow="0" w:firstColumn="1" w:lastColumn="0" w:noHBand="0" w:noVBand="1"/>
      </w:tblPr>
      <w:tblGrid>
        <w:gridCol w:w="4673"/>
        <w:gridCol w:w="992"/>
        <w:gridCol w:w="1701"/>
        <w:gridCol w:w="1650"/>
      </w:tblGrid>
      <w:tr w:rsidR="00257070" w:rsidRPr="00257070" w:rsidTr="00995941">
        <w:tc>
          <w:tcPr>
            <w:tcW w:w="4673" w:type="dxa"/>
            <w:shd w:val="clear" w:color="auto" w:fill="FBE4D5" w:themeFill="accent2" w:themeFillTint="33"/>
          </w:tcPr>
          <w:p w:rsidR="00257070" w:rsidRPr="00257070" w:rsidRDefault="00257070" w:rsidP="00257070">
            <w:pPr>
              <w:spacing w:after="0" w:line="240" w:lineRule="auto"/>
              <w:rPr>
                <w:i/>
              </w:rPr>
            </w:pPr>
            <w:r w:rsidRPr="00257070">
              <w:rPr>
                <w:i/>
              </w:rPr>
              <w:t>Year of Target and Plan</w:t>
            </w:r>
          </w:p>
        </w:tc>
        <w:tc>
          <w:tcPr>
            <w:tcW w:w="992" w:type="dxa"/>
            <w:shd w:val="clear" w:color="auto" w:fill="FBE4D5" w:themeFill="accent2" w:themeFillTint="33"/>
          </w:tcPr>
          <w:p w:rsidR="00257070" w:rsidRPr="00257070" w:rsidRDefault="00257070" w:rsidP="00257070">
            <w:pPr>
              <w:spacing w:after="0" w:line="240" w:lineRule="auto"/>
              <w:rPr>
                <w:i/>
              </w:rPr>
            </w:pPr>
            <w:r w:rsidRPr="00257070">
              <w:rPr>
                <w:i/>
              </w:rPr>
              <w:t>Target</w:t>
            </w:r>
          </w:p>
        </w:tc>
        <w:tc>
          <w:tcPr>
            <w:tcW w:w="1701" w:type="dxa"/>
            <w:shd w:val="clear" w:color="auto" w:fill="FBE4D5" w:themeFill="accent2" w:themeFillTint="33"/>
          </w:tcPr>
          <w:p w:rsidR="00257070" w:rsidRPr="00257070" w:rsidRDefault="00257070" w:rsidP="00257070">
            <w:pPr>
              <w:spacing w:after="0" w:line="240" w:lineRule="auto"/>
              <w:rPr>
                <w:i/>
              </w:rPr>
            </w:pPr>
            <w:r w:rsidRPr="00257070">
              <w:rPr>
                <w:i/>
              </w:rPr>
              <w:t>Completions</w:t>
            </w:r>
          </w:p>
        </w:tc>
        <w:tc>
          <w:tcPr>
            <w:tcW w:w="1650" w:type="dxa"/>
            <w:shd w:val="clear" w:color="auto" w:fill="FBE4D5" w:themeFill="accent2" w:themeFillTint="33"/>
          </w:tcPr>
          <w:p w:rsidR="00257070" w:rsidRPr="00257070" w:rsidRDefault="00257070" w:rsidP="00257070">
            <w:pPr>
              <w:spacing w:after="0" w:line="240" w:lineRule="auto"/>
              <w:rPr>
                <w:i/>
              </w:rPr>
            </w:pPr>
            <w:r w:rsidRPr="00257070">
              <w:rPr>
                <w:i/>
              </w:rPr>
              <w:t>+ or -</w:t>
            </w:r>
          </w:p>
        </w:tc>
      </w:tr>
      <w:tr w:rsidR="00257070" w:rsidRPr="00257070" w:rsidTr="00995941">
        <w:tc>
          <w:tcPr>
            <w:tcW w:w="4673" w:type="dxa"/>
          </w:tcPr>
          <w:p w:rsidR="00257070" w:rsidRPr="00257070" w:rsidRDefault="00257070" w:rsidP="00257070">
            <w:pPr>
              <w:spacing w:after="0" w:line="240" w:lineRule="auto"/>
              <w:rPr>
                <w:i/>
              </w:rPr>
            </w:pPr>
            <w:r w:rsidRPr="00257070">
              <w:rPr>
                <w:i/>
              </w:rPr>
              <w:t>2001 – Adopted Lincolnshire Structure Plan ran from 2001 - 2021</w:t>
            </w:r>
          </w:p>
        </w:tc>
        <w:tc>
          <w:tcPr>
            <w:tcW w:w="992" w:type="dxa"/>
          </w:tcPr>
          <w:p w:rsidR="00257070" w:rsidRPr="00257070" w:rsidRDefault="00257070" w:rsidP="00257070">
            <w:pPr>
              <w:spacing w:after="0" w:line="240" w:lineRule="auto"/>
              <w:rPr>
                <w:i/>
              </w:rPr>
            </w:pPr>
            <w:r w:rsidRPr="00257070">
              <w:rPr>
                <w:i/>
              </w:rPr>
              <w:t>520</w:t>
            </w:r>
          </w:p>
        </w:tc>
        <w:tc>
          <w:tcPr>
            <w:tcW w:w="1701" w:type="dxa"/>
          </w:tcPr>
          <w:p w:rsidR="00257070" w:rsidRPr="00257070" w:rsidRDefault="00257070" w:rsidP="00257070">
            <w:pPr>
              <w:spacing w:after="0" w:line="240" w:lineRule="auto"/>
              <w:rPr>
                <w:i/>
              </w:rPr>
            </w:pPr>
            <w:r w:rsidRPr="00257070">
              <w:rPr>
                <w:i/>
              </w:rPr>
              <w:t>663</w:t>
            </w:r>
          </w:p>
        </w:tc>
        <w:tc>
          <w:tcPr>
            <w:tcW w:w="1650" w:type="dxa"/>
          </w:tcPr>
          <w:p w:rsidR="00257070" w:rsidRPr="00257070" w:rsidRDefault="00257070" w:rsidP="00257070">
            <w:pPr>
              <w:spacing w:after="0" w:line="240" w:lineRule="auto"/>
              <w:rPr>
                <w:i/>
              </w:rPr>
            </w:pPr>
            <w:r w:rsidRPr="00257070">
              <w:rPr>
                <w:i/>
              </w:rPr>
              <w:t>+143</w:t>
            </w:r>
          </w:p>
        </w:tc>
      </w:tr>
      <w:tr w:rsidR="00257070" w:rsidRPr="00257070" w:rsidTr="00995941">
        <w:tc>
          <w:tcPr>
            <w:tcW w:w="4673" w:type="dxa"/>
          </w:tcPr>
          <w:p w:rsidR="00257070" w:rsidRPr="00257070" w:rsidRDefault="00257070" w:rsidP="00257070">
            <w:pPr>
              <w:spacing w:after="0" w:line="240" w:lineRule="auto"/>
              <w:rPr>
                <w:i/>
              </w:rPr>
            </w:pPr>
            <w:r w:rsidRPr="00257070">
              <w:rPr>
                <w:i/>
              </w:rPr>
              <w:t>2002</w:t>
            </w:r>
          </w:p>
        </w:tc>
        <w:tc>
          <w:tcPr>
            <w:tcW w:w="992" w:type="dxa"/>
          </w:tcPr>
          <w:p w:rsidR="00257070" w:rsidRPr="00257070" w:rsidRDefault="00257070" w:rsidP="00257070">
            <w:pPr>
              <w:spacing w:after="0" w:line="240" w:lineRule="auto"/>
              <w:rPr>
                <w:i/>
              </w:rPr>
            </w:pPr>
            <w:r w:rsidRPr="00257070">
              <w:rPr>
                <w:i/>
              </w:rPr>
              <w:t>520</w:t>
            </w:r>
          </w:p>
        </w:tc>
        <w:tc>
          <w:tcPr>
            <w:tcW w:w="1701" w:type="dxa"/>
          </w:tcPr>
          <w:p w:rsidR="00257070" w:rsidRPr="00257070" w:rsidRDefault="00257070" w:rsidP="00257070">
            <w:pPr>
              <w:spacing w:after="0" w:line="240" w:lineRule="auto"/>
              <w:rPr>
                <w:i/>
              </w:rPr>
            </w:pPr>
            <w:r w:rsidRPr="00257070">
              <w:rPr>
                <w:i/>
              </w:rPr>
              <w:t>624</w:t>
            </w:r>
          </w:p>
        </w:tc>
        <w:tc>
          <w:tcPr>
            <w:tcW w:w="1650" w:type="dxa"/>
          </w:tcPr>
          <w:p w:rsidR="00257070" w:rsidRPr="00257070" w:rsidRDefault="00257070" w:rsidP="00257070">
            <w:pPr>
              <w:spacing w:after="0" w:line="240" w:lineRule="auto"/>
              <w:rPr>
                <w:i/>
              </w:rPr>
            </w:pPr>
            <w:r w:rsidRPr="00257070">
              <w:rPr>
                <w:i/>
              </w:rPr>
              <w:t>+104</w:t>
            </w:r>
          </w:p>
        </w:tc>
      </w:tr>
      <w:tr w:rsidR="00257070" w:rsidRPr="00257070" w:rsidTr="00995941">
        <w:tc>
          <w:tcPr>
            <w:tcW w:w="4673" w:type="dxa"/>
          </w:tcPr>
          <w:p w:rsidR="00257070" w:rsidRPr="00257070" w:rsidRDefault="00257070" w:rsidP="00257070">
            <w:pPr>
              <w:spacing w:after="0" w:line="240" w:lineRule="auto"/>
              <w:rPr>
                <w:i/>
              </w:rPr>
            </w:pPr>
            <w:r w:rsidRPr="00257070">
              <w:rPr>
                <w:i/>
              </w:rPr>
              <w:t>2003</w:t>
            </w:r>
          </w:p>
        </w:tc>
        <w:tc>
          <w:tcPr>
            <w:tcW w:w="992" w:type="dxa"/>
          </w:tcPr>
          <w:p w:rsidR="00257070" w:rsidRPr="00257070" w:rsidRDefault="00257070" w:rsidP="00257070">
            <w:pPr>
              <w:spacing w:after="0" w:line="240" w:lineRule="auto"/>
              <w:rPr>
                <w:i/>
              </w:rPr>
            </w:pPr>
            <w:r w:rsidRPr="00257070">
              <w:rPr>
                <w:i/>
              </w:rPr>
              <w:t>520</w:t>
            </w:r>
          </w:p>
        </w:tc>
        <w:tc>
          <w:tcPr>
            <w:tcW w:w="1701" w:type="dxa"/>
          </w:tcPr>
          <w:p w:rsidR="00257070" w:rsidRPr="00257070" w:rsidRDefault="00257070" w:rsidP="00257070">
            <w:pPr>
              <w:spacing w:after="0" w:line="240" w:lineRule="auto"/>
              <w:rPr>
                <w:i/>
              </w:rPr>
            </w:pPr>
            <w:r w:rsidRPr="00257070">
              <w:rPr>
                <w:i/>
              </w:rPr>
              <w:t>487</w:t>
            </w:r>
          </w:p>
        </w:tc>
        <w:tc>
          <w:tcPr>
            <w:tcW w:w="1650" w:type="dxa"/>
          </w:tcPr>
          <w:p w:rsidR="00257070" w:rsidRPr="00257070" w:rsidRDefault="00257070" w:rsidP="00257070">
            <w:pPr>
              <w:spacing w:after="0" w:line="240" w:lineRule="auto"/>
              <w:rPr>
                <w:i/>
              </w:rPr>
            </w:pPr>
            <w:r w:rsidRPr="00257070">
              <w:rPr>
                <w:i/>
              </w:rPr>
              <w:t>-33</w:t>
            </w:r>
          </w:p>
        </w:tc>
      </w:tr>
      <w:tr w:rsidR="00257070" w:rsidRPr="00257070" w:rsidTr="00995941">
        <w:tc>
          <w:tcPr>
            <w:tcW w:w="4673" w:type="dxa"/>
          </w:tcPr>
          <w:p w:rsidR="00257070" w:rsidRPr="00257070" w:rsidRDefault="00257070" w:rsidP="00257070">
            <w:pPr>
              <w:spacing w:after="0" w:line="240" w:lineRule="auto"/>
              <w:rPr>
                <w:i/>
              </w:rPr>
            </w:pPr>
            <w:r w:rsidRPr="00257070">
              <w:rPr>
                <w:i/>
              </w:rPr>
              <w:t>2004</w:t>
            </w:r>
          </w:p>
        </w:tc>
        <w:tc>
          <w:tcPr>
            <w:tcW w:w="992" w:type="dxa"/>
          </w:tcPr>
          <w:p w:rsidR="00257070" w:rsidRPr="00257070" w:rsidRDefault="00257070" w:rsidP="00257070">
            <w:pPr>
              <w:spacing w:after="0" w:line="240" w:lineRule="auto"/>
              <w:rPr>
                <w:i/>
              </w:rPr>
            </w:pPr>
            <w:r w:rsidRPr="00257070">
              <w:rPr>
                <w:i/>
              </w:rPr>
              <w:t>520</w:t>
            </w:r>
          </w:p>
        </w:tc>
        <w:tc>
          <w:tcPr>
            <w:tcW w:w="1701" w:type="dxa"/>
          </w:tcPr>
          <w:p w:rsidR="00257070" w:rsidRPr="00257070" w:rsidRDefault="00257070" w:rsidP="00257070">
            <w:pPr>
              <w:spacing w:after="0" w:line="240" w:lineRule="auto"/>
              <w:rPr>
                <w:i/>
              </w:rPr>
            </w:pPr>
            <w:r w:rsidRPr="00257070">
              <w:rPr>
                <w:i/>
              </w:rPr>
              <w:t>568</w:t>
            </w:r>
          </w:p>
        </w:tc>
        <w:tc>
          <w:tcPr>
            <w:tcW w:w="1650" w:type="dxa"/>
          </w:tcPr>
          <w:p w:rsidR="00257070" w:rsidRPr="00257070" w:rsidRDefault="00257070" w:rsidP="00257070">
            <w:pPr>
              <w:spacing w:after="0" w:line="240" w:lineRule="auto"/>
              <w:rPr>
                <w:i/>
              </w:rPr>
            </w:pPr>
            <w:r w:rsidRPr="00257070">
              <w:rPr>
                <w:i/>
              </w:rPr>
              <w:t>+48</w:t>
            </w:r>
          </w:p>
        </w:tc>
      </w:tr>
      <w:tr w:rsidR="00257070" w:rsidRPr="00257070" w:rsidTr="00995941">
        <w:tc>
          <w:tcPr>
            <w:tcW w:w="4673" w:type="dxa"/>
          </w:tcPr>
          <w:p w:rsidR="00257070" w:rsidRPr="00257070" w:rsidRDefault="00257070" w:rsidP="00257070">
            <w:pPr>
              <w:spacing w:after="0" w:line="240" w:lineRule="auto"/>
              <w:rPr>
                <w:i/>
              </w:rPr>
            </w:pPr>
            <w:r w:rsidRPr="00257070">
              <w:rPr>
                <w:i/>
              </w:rPr>
              <w:t>2005</w:t>
            </w:r>
          </w:p>
        </w:tc>
        <w:tc>
          <w:tcPr>
            <w:tcW w:w="992" w:type="dxa"/>
          </w:tcPr>
          <w:p w:rsidR="00257070" w:rsidRPr="00257070" w:rsidRDefault="00257070" w:rsidP="00257070">
            <w:pPr>
              <w:spacing w:after="0" w:line="240" w:lineRule="auto"/>
              <w:rPr>
                <w:i/>
              </w:rPr>
            </w:pPr>
            <w:r w:rsidRPr="00257070">
              <w:rPr>
                <w:i/>
              </w:rPr>
              <w:t>520</w:t>
            </w:r>
          </w:p>
        </w:tc>
        <w:tc>
          <w:tcPr>
            <w:tcW w:w="1701" w:type="dxa"/>
          </w:tcPr>
          <w:p w:rsidR="00257070" w:rsidRPr="00257070" w:rsidRDefault="00257070" w:rsidP="00257070">
            <w:pPr>
              <w:spacing w:after="0" w:line="240" w:lineRule="auto"/>
              <w:rPr>
                <w:i/>
              </w:rPr>
            </w:pPr>
            <w:r w:rsidRPr="00257070">
              <w:rPr>
                <w:i/>
              </w:rPr>
              <w:t>497</w:t>
            </w:r>
          </w:p>
        </w:tc>
        <w:tc>
          <w:tcPr>
            <w:tcW w:w="1650" w:type="dxa"/>
          </w:tcPr>
          <w:p w:rsidR="00257070" w:rsidRPr="00257070" w:rsidRDefault="00257070" w:rsidP="00257070">
            <w:pPr>
              <w:spacing w:after="0" w:line="240" w:lineRule="auto"/>
              <w:rPr>
                <w:i/>
              </w:rPr>
            </w:pPr>
            <w:r w:rsidRPr="00257070">
              <w:rPr>
                <w:i/>
              </w:rPr>
              <w:t>-23</w:t>
            </w:r>
          </w:p>
        </w:tc>
      </w:tr>
      <w:tr w:rsidR="00257070" w:rsidRPr="00257070" w:rsidTr="00995941">
        <w:tc>
          <w:tcPr>
            <w:tcW w:w="4673" w:type="dxa"/>
          </w:tcPr>
          <w:p w:rsidR="00257070" w:rsidRPr="00257070" w:rsidRDefault="00257070" w:rsidP="00257070">
            <w:pPr>
              <w:spacing w:after="0" w:line="240" w:lineRule="auto"/>
              <w:rPr>
                <w:i/>
              </w:rPr>
            </w:pPr>
            <w:r w:rsidRPr="00257070">
              <w:rPr>
                <w:i/>
              </w:rPr>
              <w:t>2006</w:t>
            </w:r>
            <w:r>
              <w:rPr>
                <w:i/>
              </w:rPr>
              <w:t xml:space="preserve"> – Adopted regional plan</w:t>
            </w:r>
          </w:p>
        </w:tc>
        <w:tc>
          <w:tcPr>
            <w:tcW w:w="992" w:type="dxa"/>
          </w:tcPr>
          <w:p w:rsidR="00257070" w:rsidRPr="00257070" w:rsidRDefault="00257070" w:rsidP="00257070">
            <w:pPr>
              <w:spacing w:after="0" w:line="240" w:lineRule="auto"/>
              <w:rPr>
                <w:i/>
              </w:rPr>
            </w:pPr>
            <w:r>
              <w:rPr>
                <w:i/>
              </w:rPr>
              <w:t>600</w:t>
            </w:r>
          </w:p>
        </w:tc>
        <w:tc>
          <w:tcPr>
            <w:tcW w:w="1701" w:type="dxa"/>
          </w:tcPr>
          <w:p w:rsidR="00257070" w:rsidRPr="00257070" w:rsidRDefault="00257070" w:rsidP="00257070">
            <w:pPr>
              <w:spacing w:after="0" w:line="240" w:lineRule="auto"/>
              <w:rPr>
                <w:i/>
              </w:rPr>
            </w:pPr>
            <w:r w:rsidRPr="00257070">
              <w:rPr>
                <w:i/>
              </w:rPr>
              <w:t>619</w:t>
            </w:r>
          </w:p>
        </w:tc>
        <w:tc>
          <w:tcPr>
            <w:tcW w:w="1650" w:type="dxa"/>
          </w:tcPr>
          <w:p w:rsidR="00257070" w:rsidRPr="00257070" w:rsidRDefault="00257070" w:rsidP="00257070">
            <w:pPr>
              <w:spacing w:after="0" w:line="240" w:lineRule="auto"/>
              <w:rPr>
                <w:i/>
              </w:rPr>
            </w:pPr>
            <w:r>
              <w:rPr>
                <w:i/>
              </w:rPr>
              <w:t>+19</w:t>
            </w:r>
          </w:p>
        </w:tc>
      </w:tr>
      <w:tr w:rsidR="00257070" w:rsidRPr="00257070" w:rsidTr="00995941">
        <w:tc>
          <w:tcPr>
            <w:tcW w:w="4673" w:type="dxa"/>
          </w:tcPr>
          <w:p w:rsidR="00257070" w:rsidRPr="00257070" w:rsidRDefault="00257070" w:rsidP="00257070">
            <w:pPr>
              <w:spacing w:after="0" w:line="240" w:lineRule="auto"/>
              <w:rPr>
                <w:i/>
              </w:rPr>
            </w:pPr>
            <w:r w:rsidRPr="00257070">
              <w:rPr>
                <w:i/>
              </w:rPr>
              <w:t>2007</w:t>
            </w:r>
          </w:p>
        </w:tc>
        <w:tc>
          <w:tcPr>
            <w:tcW w:w="992" w:type="dxa"/>
          </w:tcPr>
          <w:p w:rsidR="00257070" w:rsidRPr="00257070" w:rsidRDefault="00257070" w:rsidP="00257070">
            <w:pPr>
              <w:spacing w:after="0" w:line="240" w:lineRule="auto"/>
              <w:rPr>
                <w:i/>
              </w:rPr>
            </w:pPr>
            <w:r>
              <w:rPr>
                <w:i/>
              </w:rPr>
              <w:t>600</w:t>
            </w:r>
          </w:p>
        </w:tc>
        <w:tc>
          <w:tcPr>
            <w:tcW w:w="1701" w:type="dxa"/>
          </w:tcPr>
          <w:p w:rsidR="00257070" w:rsidRPr="00257070" w:rsidRDefault="00257070" w:rsidP="00257070">
            <w:pPr>
              <w:spacing w:after="0" w:line="240" w:lineRule="auto"/>
              <w:rPr>
                <w:i/>
              </w:rPr>
            </w:pPr>
            <w:r w:rsidRPr="00257070">
              <w:rPr>
                <w:i/>
              </w:rPr>
              <w:t>732</w:t>
            </w:r>
          </w:p>
        </w:tc>
        <w:tc>
          <w:tcPr>
            <w:tcW w:w="1650" w:type="dxa"/>
          </w:tcPr>
          <w:p w:rsidR="00257070" w:rsidRPr="00257070" w:rsidRDefault="00257070" w:rsidP="00257070">
            <w:pPr>
              <w:spacing w:after="0" w:line="240" w:lineRule="auto"/>
              <w:rPr>
                <w:i/>
              </w:rPr>
            </w:pPr>
            <w:r>
              <w:rPr>
                <w:i/>
              </w:rPr>
              <w:t>+132</w:t>
            </w:r>
          </w:p>
        </w:tc>
      </w:tr>
      <w:tr w:rsidR="00257070" w:rsidRPr="00257070" w:rsidTr="00995941">
        <w:tc>
          <w:tcPr>
            <w:tcW w:w="4673" w:type="dxa"/>
          </w:tcPr>
          <w:p w:rsidR="00257070" w:rsidRPr="00257070" w:rsidRDefault="00257070" w:rsidP="00257070">
            <w:pPr>
              <w:spacing w:after="0" w:line="240" w:lineRule="auto"/>
              <w:rPr>
                <w:i/>
              </w:rPr>
            </w:pPr>
            <w:r w:rsidRPr="00257070">
              <w:rPr>
                <w:i/>
              </w:rPr>
              <w:t>2008</w:t>
            </w:r>
          </w:p>
        </w:tc>
        <w:tc>
          <w:tcPr>
            <w:tcW w:w="992" w:type="dxa"/>
          </w:tcPr>
          <w:p w:rsidR="00257070" w:rsidRPr="00257070" w:rsidRDefault="00257070" w:rsidP="00257070">
            <w:pPr>
              <w:spacing w:after="0" w:line="240" w:lineRule="auto"/>
              <w:rPr>
                <w:i/>
              </w:rPr>
            </w:pPr>
            <w:r>
              <w:rPr>
                <w:i/>
              </w:rPr>
              <w:t>600</w:t>
            </w:r>
          </w:p>
        </w:tc>
        <w:tc>
          <w:tcPr>
            <w:tcW w:w="1701" w:type="dxa"/>
          </w:tcPr>
          <w:p w:rsidR="00257070" w:rsidRPr="00257070" w:rsidRDefault="00257070" w:rsidP="00257070">
            <w:pPr>
              <w:spacing w:after="0" w:line="240" w:lineRule="auto"/>
              <w:rPr>
                <w:i/>
              </w:rPr>
            </w:pPr>
            <w:r w:rsidRPr="00257070">
              <w:rPr>
                <w:i/>
              </w:rPr>
              <w:t>578</w:t>
            </w:r>
          </w:p>
        </w:tc>
        <w:tc>
          <w:tcPr>
            <w:tcW w:w="1650" w:type="dxa"/>
          </w:tcPr>
          <w:p w:rsidR="00257070" w:rsidRPr="00257070" w:rsidRDefault="00257070" w:rsidP="00257070">
            <w:pPr>
              <w:spacing w:after="0" w:line="240" w:lineRule="auto"/>
              <w:rPr>
                <w:i/>
              </w:rPr>
            </w:pPr>
            <w:r w:rsidRPr="00257070">
              <w:rPr>
                <w:i/>
              </w:rPr>
              <w:t>+58</w:t>
            </w:r>
          </w:p>
        </w:tc>
      </w:tr>
      <w:tr w:rsidR="00257070" w:rsidRPr="00257070" w:rsidTr="00995941">
        <w:tc>
          <w:tcPr>
            <w:tcW w:w="4673" w:type="dxa"/>
          </w:tcPr>
          <w:p w:rsidR="00257070" w:rsidRPr="00257070" w:rsidRDefault="00257070" w:rsidP="00257070">
            <w:pPr>
              <w:spacing w:after="0" w:line="240" w:lineRule="auto"/>
              <w:rPr>
                <w:i/>
              </w:rPr>
            </w:pPr>
            <w:r w:rsidRPr="00257070">
              <w:rPr>
                <w:i/>
              </w:rPr>
              <w:t xml:space="preserve">2009 </w:t>
            </w:r>
          </w:p>
        </w:tc>
        <w:tc>
          <w:tcPr>
            <w:tcW w:w="992" w:type="dxa"/>
          </w:tcPr>
          <w:p w:rsidR="00257070" w:rsidRPr="00257070" w:rsidRDefault="00257070" w:rsidP="00257070">
            <w:pPr>
              <w:spacing w:after="0" w:line="240" w:lineRule="auto"/>
              <w:rPr>
                <w:i/>
              </w:rPr>
            </w:pPr>
            <w:r w:rsidRPr="00257070">
              <w:rPr>
                <w:i/>
              </w:rPr>
              <w:t>600</w:t>
            </w:r>
          </w:p>
        </w:tc>
        <w:tc>
          <w:tcPr>
            <w:tcW w:w="1701" w:type="dxa"/>
          </w:tcPr>
          <w:p w:rsidR="00257070" w:rsidRPr="00257070" w:rsidRDefault="00257070" w:rsidP="00257070">
            <w:pPr>
              <w:spacing w:after="0" w:line="240" w:lineRule="auto"/>
              <w:rPr>
                <w:i/>
              </w:rPr>
            </w:pPr>
            <w:r w:rsidRPr="00257070">
              <w:rPr>
                <w:i/>
              </w:rPr>
              <w:t>681</w:t>
            </w:r>
          </w:p>
        </w:tc>
        <w:tc>
          <w:tcPr>
            <w:tcW w:w="1650" w:type="dxa"/>
          </w:tcPr>
          <w:p w:rsidR="00257070" w:rsidRPr="00257070" w:rsidRDefault="00257070" w:rsidP="00257070">
            <w:pPr>
              <w:spacing w:after="0" w:line="240" w:lineRule="auto"/>
              <w:rPr>
                <w:i/>
              </w:rPr>
            </w:pPr>
            <w:r>
              <w:rPr>
                <w:i/>
              </w:rPr>
              <w:t>-22</w:t>
            </w:r>
          </w:p>
        </w:tc>
      </w:tr>
      <w:tr w:rsidR="00257070" w:rsidRPr="00257070" w:rsidTr="00995941">
        <w:tc>
          <w:tcPr>
            <w:tcW w:w="4673" w:type="dxa"/>
          </w:tcPr>
          <w:p w:rsidR="00257070" w:rsidRPr="00257070" w:rsidRDefault="00257070" w:rsidP="00257070">
            <w:pPr>
              <w:spacing w:after="0" w:line="240" w:lineRule="auto"/>
              <w:rPr>
                <w:i/>
              </w:rPr>
            </w:pPr>
            <w:r w:rsidRPr="00257070">
              <w:rPr>
                <w:i/>
              </w:rPr>
              <w:t>2010</w:t>
            </w:r>
          </w:p>
        </w:tc>
        <w:tc>
          <w:tcPr>
            <w:tcW w:w="992" w:type="dxa"/>
          </w:tcPr>
          <w:p w:rsidR="00257070" w:rsidRPr="00257070" w:rsidRDefault="00257070" w:rsidP="00257070">
            <w:pPr>
              <w:spacing w:after="0" w:line="240" w:lineRule="auto"/>
              <w:rPr>
                <w:i/>
              </w:rPr>
            </w:pPr>
            <w:r w:rsidRPr="00257070">
              <w:rPr>
                <w:i/>
              </w:rPr>
              <w:t>600</w:t>
            </w:r>
          </w:p>
        </w:tc>
        <w:tc>
          <w:tcPr>
            <w:tcW w:w="1701" w:type="dxa"/>
          </w:tcPr>
          <w:p w:rsidR="00257070" w:rsidRPr="00257070" w:rsidRDefault="00257070" w:rsidP="00257070">
            <w:pPr>
              <w:spacing w:after="0" w:line="240" w:lineRule="auto"/>
              <w:rPr>
                <w:i/>
              </w:rPr>
            </w:pPr>
            <w:r w:rsidRPr="00257070">
              <w:rPr>
                <w:i/>
              </w:rPr>
              <w:t>573</w:t>
            </w:r>
          </w:p>
        </w:tc>
        <w:tc>
          <w:tcPr>
            <w:tcW w:w="1650" w:type="dxa"/>
          </w:tcPr>
          <w:p w:rsidR="00257070" w:rsidRPr="00257070" w:rsidRDefault="00257070" w:rsidP="00257070">
            <w:pPr>
              <w:spacing w:after="0" w:line="240" w:lineRule="auto"/>
              <w:rPr>
                <w:i/>
              </w:rPr>
            </w:pPr>
            <w:r w:rsidRPr="00257070">
              <w:rPr>
                <w:i/>
              </w:rPr>
              <w:t>-27</w:t>
            </w:r>
          </w:p>
        </w:tc>
      </w:tr>
      <w:tr w:rsidR="00257070" w:rsidRPr="00257070" w:rsidTr="00995941">
        <w:tc>
          <w:tcPr>
            <w:tcW w:w="4673" w:type="dxa"/>
          </w:tcPr>
          <w:p w:rsidR="00257070" w:rsidRPr="00257070" w:rsidRDefault="00257070" w:rsidP="00257070">
            <w:pPr>
              <w:spacing w:after="0" w:line="240" w:lineRule="auto"/>
              <w:rPr>
                <w:i/>
              </w:rPr>
            </w:pPr>
            <w:r w:rsidRPr="00257070">
              <w:rPr>
                <w:i/>
              </w:rPr>
              <w:t>2011 – Start period for the Local Plan</w:t>
            </w:r>
          </w:p>
        </w:tc>
        <w:tc>
          <w:tcPr>
            <w:tcW w:w="992" w:type="dxa"/>
          </w:tcPr>
          <w:p w:rsidR="00257070" w:rsidRPr="00257070" w:rsidRDefault="00257070" w:rsidP="00257070">
            <w:pPr>
              <w:spacing w:after="0" w:line="240" w:lineRule="auto"/>
              <w:rPr>
                <w:i/>
              </w:rPr>
            </w:pPr>
            <w:r w:rsidRPr="00257070">
              <w:rPr>
                <w:i/>
              </w:rPr>
              <w:t>481</w:t>
            </w:r>
          </w:p>
        </w:tc>
        <w:tc>
          <w:tcPr>
            <w:tcW w:w="1701" w:type="dxa"/>
          </w:tcPr>
          <w:p w:rsidR="00257070" w:rsidRPr="00257070" w:rsidRDefault="00257070" w:rsidP="00257070">
            <w:pPr>
              <w:spacing w:after="0" w:line="240" w:lineRule="auto"/>
              <w:rPr>
                <w:i/>
              </w:rPr>
            </w:pPr>
            <w:r w:rsidRPr="00257070">
              <w:rPr>
                <w:i/>
              </w:rPr>
              <w:t>246</w:t>
            </w:r>
          </w:p>
        </w:tc>
        <w:tc>
          <w:tcPr>
            <w:tcW w:w="1650" w:type="dxa"/>
          </w:tcPr>
          <w:p w:rsidR="00257070" w:rsidRPr="00257070" w:rsidRDefault="00257070" w:rsidP="00257070">
            <w:pPr>
              <w:spacing w:after="0" w:line="240" w:lineRule="auto"/>
              <w:rPr>
                <w:i/>
              </w:rPr>
            </w:pPr>
            <w:r w:rsidRPr="00257070">
              <w:rPr>
                <w:i/>
              </w:rPr>
              <w:t>-235</w:t>
            </w:r>
          </w:p>
        </w:tc>
      </w:tr>
      <w:tr w:rsidR="00257070" w:rsidRPr="00257070" w:rsidTr="00995941">
        <w:tc>
          <w:tcPr>
            <w:tcW w:w="4673" w:type="dxa"/>
          </w:tcPr>
          <w:p w:rsidR="00257070" w:rsidRPr="00257070" w:rsidRDefault="00257070" w:rsidP="00257070">
            <w:pPr>
              <w:spacing w:after="0" w:line="240" w:lineRule="auto"/>
              <w:rPr>
                <w:i/>
              </w:rPr>
            </w:pPr>
            <w:r w:rsidRPr="00257070">
              <w:rPr>
                <w:i/>
              </w:rPr>
              <w:t>2012</w:t>
            </w:r>
          </w:p>
        </w:tc>
        <w:tc>
          <w:tcPr>
            <w:tcW w:w="992" w:type="dxa"/>
          </w:tcPr>
          <w:p w:rsidR="00257070" w:rsidRPr="00257070" w:rsidRDefault="00257070" w:rsidP="00257070">
            <w:pPr>
              <w:spacing w:after="0" w:line="240" w:lineRule="auto"/>
              <w:rPr>
                <w:i/>
              </w:rPr>
            </w:pPr>
            <w:r w:rsidRPr="00257070">
              <w:rPr>
                <w:i/>
              </w:rPr>
              <w:t>481</w:t>
            </w:r>
          </w:p>
        </w:tc>
        <w:tc>
          <w:tcPr>
            <w:tcW w:w="1701" w:type="dxa"/>
          </w:tcPr>
          <w:p w:rsidR="00257070" w:rsidRPr="00257070" w:rsidRDefault="00257070" w:rsidP="00257070">
            <w:pPr>
              <w:spacing w:after="0" w:line="240" w:lineRule="auto"/>
              <w:rPr>
                <w:i/>
              </w:rPr>
            </w:pPr>
            <w:r w:rsidRPr="00257070">
              <w:rPr>
                <w:i/>
              </w:rPr>
              <w:t>240</w:t>
            </w:r>
          </w:p>
        </w:tc>
        <w:tc>
          <w:tcPr>
            <w:tcW w:w="1650" w:type="dxa"/>
          </w:tcPr>
          <w:p w:rsidR="00257070" w:rsidRPr="00257070" w:rsidRDefault="00257070" w:rsidP="00257070">
            <w:pPr>
              <w:spacing w:after="0" w:line="240" w:lineRule="auto"/>
              <w:rPr>
                <w:i/>
              </w:rPr>
            </w:pPr>
            <w:r w:rsidRPr="00257070">
              <w:rPr>
                <w:i/>
              </w:rPr>
              <w:t>-241</w:t>
            </w:r>
          </w:p>
        </w:tc>
      </w:tr>
      <w:tr w:rsidR="00257070" w:rsidRPr="00257070" w:rsidTr="00995941">
        <w:tc>
          <w:tcPr>
            <w:tcW w:w="4673" w:type="dxa"/>
          </w:tcPr>
          <w:p w:rsidR="00257070" w:rsidRPr="00257070" w:rsidRDefault="00257070" w:rsidP="00257070">
            <w:pPr>
              <w:spacing w:after="0" w:line="240" w:lineRule="auto"/>
              <w:rPr>
                <w:i/>
              </w:rPr>
            </w:pPr>
            <w:r w:rsidRPr="00257070">
              <w:rPr>
                <w:i/>
              </w:rPr>
              <w:t>2013</w:t>
            </w:r>
          </w:p>
        </w:tc>
        <w:tc>
          <w:tcPr>
            <w:tcW w:w="992" w:type="dxa"/>
          </w:tcPr>
          <w:p w:rsidR="00257070" w:rsidRPr="00257070" w:rsidRDefault="00257070" w:rsidP="00257070">
            <w:pPr>
              <w:spacing w:after="0" w:line="240" w:lineRule="auto"/>
              <w:rPr>
                <w:i/>
              </w:rPr>
            </w:pPr>
            <w:r w:rsidRPr="00257070">
              <w:rPr>
                <w:i/>
              </w:rPr>
              <w:t>481</w:t>
            </w:r>
          </w:p>
        </w:tc>
        <w:tc>
          <w:tcPr>
            <w:tcW w:w="1701" w:type="dxa"/>
          </w:tcPr>
          <w:p w:rsidR="00257070" w:rsidRPr="00257070" w:rsidRDefault="00257070" w:rsidP="00257070">
            <w:pPr>
              <w:spacing w:after="0" w:line="240" w:lineRule="auto"/>
              <w:rPr>
                <w:i/>
              </w:rPr>
            </w:pPr>
            <w:r w:rsidRPr="00257070">
              <w:rPr>
                <w:i/>
              </w:rPr>
              <w:t>276</w:t>
            </w:r>
          </w:p>
        </w:tc>
        <w:tc>
          <w:tcPr>
            <w:tcW w:w="1650" w:type="dxa"/>
          </w:tcPr>
          <w:p w:rsidR="00257070" w:rsidRPr="00257070" w:rsidRDefault="00257070" w:rsidP="00257070">
            <w:pPr>
              <w:spacing w:after="0" w:line="240" w:lineRule="auto"/>
              <w:rPr>
                <w:i/>
              </w:rPr>
            </w:pPr>
            <w:r w:rsidRPr="00257070">
              <w:rPr>
                <w:i/>
              </w:rPr>
              <w:t>-205</w:t>
            </w:r>
          </w:p>
        </w:tc>
      </w:tr>
      <w:tr w:rsidR="00257070" w:rsidRPr="00257070" w:rsidTr="00995941">
        <w:tc>
          <w:tcPr>
            <w:tcW w:w="4673" w:type="dxa"/>
          </w:tcPr>
          <w:p w:rsidR="00257070" w:rsidRPr="00257070" w:rsidRDefault="00257070" w:rsidP="00257070">
            <w:pPr>
              <w:spacing w:after="0" w:line="240" w:lineRule="auto"/>
              <w:rPr>
                <w:i/>
              </w:rPr>
            </w:pPr>
            <w:r w:rsidRPr="00257070">
              <w:rPr>
                <w:i/>
              </w:rPr>
              <w:t>2014</w:t>
            </w:r>
          </w:p>
        </w:tc>
        <w:tc>
          <w:tcPr>
            <w:tcW w:w="992" w:type="dxa"/>
          </w:tcPr>
          <w:p w:rsidR="00257070" w:rsidRPr="00257070" w:rsidRDefault="00257070" w:rsidP="00257070">
            <w:pPr>
              <w:spacing w:after="0" w:line="240" w:lineRule="auto"/>
              <w:rPr>
                <w:i/>
              </w:rPr>
            </w:pPr>
            <w:r w:rsidRPr="00257070">
              <w:rPr>
                <w:i/>
              </w:rPr>
              <w:t>481</w:t>
            </w:r>
          </w:p>
        </w:tc>
        <w:tc>
          <w:tcPr>
            <w:tcW w:w="1701" w:type="dxa"/>
          </w:tcPr>
          <w:p w:rsidR="00257070" w:rsidRPr="00257070" w:rsidRDefault="00257070" w:rsidP="00257070">
            <w:pPr>
              <w:spacing w:after="0" w:line="240" w:lineRule="auto"/>
              <w:rPr>
                <w:i/>
              </w:rPr>
            </w:pPr>
            <w:r w:rsidRPr="00257070">
              <w:rPr>
                <w:i/>
              </w:rPr>
              <w:t>278</w:t>
            </w:r>
          </w:p>
        </w:tc>
        <w:tc>
          <w:tcPr>
            <w:tcW w:w="1650" w:type="dxa"/>
          </w:tcPr>
          <w:p w:rsidR="00257070" w:rsidRPr="00257070" w:rsidRDefault="00257070" w:rsidP="00257070">
            <w:pPr>
              <w:spacing w:after="0" w:line="240" w:lineRule="auto"/>
              <w:rPr>
                <w:i/>
              </w:rPr>
            </w:pPr>
            <w:r w:rsidRPr="00257070">
              <w:rPr>
                <w:i/>
              </w:rPr>
              <w:t>-203</w:t>
            </w:r>
          </w:p>
        </w:tc>
      </w:tr>
      <w:tr w:rsidR="00257070" w:rsidRPr="00257070" w:rsidTr="00995941">
        <w:tc>
          <w:tcPr>
            <w:tcW w:w="4673" w:type="dxa"/>
          </w:tcPr>
          <w:p w:rsidR="00257070" w:rsidRPr="00257070" w:rsidRDefault="00257070" w:rsidP="00257070">
            <w:pPr>
              <w:spacing w:after="0" w:line="240" w:lineRule="auto"/>
              <w:rPr>
                <w:i/>
              </w:rPr>
            </w:pPr>
            <w:r w:rsidRPr="00257070">
              <w:rPr>
                <w:i/>
              </w:rPr>
              <w:t>2015</w:t>
            </w:r>
          </w:p>
        </w:tc>
        <w:tc>
          <w:tcPr>
            <w:tcW w:w="992" w:type="dxa"/>
          </w:tcPr>
          <w:p w:rsidR="00257070" w:rsidRPr="00257070" w:rsidRDefault="00257070" w:rsidP="00257070">
            <w:pPr>
              <w:spacing w:after="0" w:line="240" w:lineRule="auto"/>
              <w:rPr>
                <w:i/>
              </w:rPr>
            </w:pPr>
            <w:r w:rsidRPr="00257070">
              <w:rPr>
                <w:i/>
              </w:rPr>
              <w:t>481</w:t>
            </w:r>
          </w:p>
        </w:tc>
        <w:tc>
          <w:tcPr>
            <w:tcW w:w="1701" w:type="dxa"/>
          </w:tcPr>
          <w:p w:rsidR="00257070" w:rsidRPr="00257070" w:rsidRDefault="00257070" w:rsidP="00257070">
            <w:pPr>
              <w:spacing w:after="0" w:line="240" w:lineRule="auto"/>
              <w:rPr>
                <w:i/>
              </w:rPr>
            </w:pPr>
            <w:r w:rsidRPr="00257070">
              <w:rPr>
                <w:i/>
              </w:rPr>
              <w:t>405</w:t>
            </w:r>
          </w:p>
        </w:tc>
        <w:tc>
          <w:tcPr>
            <w:tcW w:w="1650" w:type="dxa"/>
          </w:tcPr>
          <w:p w:rsidR="00257070" w:rsidRPr="00257070" w:rsidRDefault="00257070" w:rsidP="00257070">
            <w:pPr>
              <w:spacing w:after="0" w:line="240" w:lineRule="auto"/>
              <w:rPr>
                <w:i/>
              </w:rPr>
            </w:pPr>
            <w:r w:rsidRPr="00257070">
              <w:rPr>
                <w:i/>
              </w:rPr>
              <w:t>-76</w:t>
            </w:r>
          </w:p>
        </w:tc>
      </w:tr>
      <w:tr w:rsidR="00257070" w:rsidRPr="00257070" w:rsidTr="00995941">
        <w:tc>
          <w:tcPr>
            <w:tcW w:w="4673" w:type="dxa"/>
          </w:tcPr>
          <w:p w:rsidR="00257070" w:rsidRPr="00257070" w:rsidRDefault="00257070" w:rsidP="00257070">
            <w:pPr>
              <w:spacing w:after="0" w:line="240" w:lineRule="auto"/>
              <w:rPr>
                <w:i/>
              </w:rPr>
            </w:pPr>
            <w:r w:rsidRPr="00257070">
              <w:rPr>
                <w:i/>
              </w:rPr>
              <w:t>2016</w:t>
            </w:r>
          </w:p>
        </w:tc>
        <w:tc>
          <w:tcPr>
            <w:tcW w:w="992" w:type="dxa"/>
          </w:tcPr>
          <w:p w:rsidR="00257070" w:rsidRPr="00257070" w:rsidRDefault="00257070" w:rsidP="00257070">
            <w:pPr>
              <w:spacing w:after="0" w:line="240" w:lineRule="auto"/>
              <w:rPr>
                <w:i/>
              </w:rPr>
            </w:pPr>
            <w:r w:rsidRPr="00257070">
              <w:rPr>
                <w:i/>
              </w:rPr>
              <w:t>481</w:t>
            </w:r>
          </w:p>
        </w:tc>
        <w:tc>
          <w:tcPr>
            <w:tcW w:w="1701" w:type="dxa"/>
          </w:tcPr>
          <w:p w:rsidR="00257070" w:rsidRPr="00257070" w:rsidRDefault="00257070" w:rsidP="00257070">
            <w:pPr>
              <w:spacing w:after="0" w:line="240" w:lineRule="auto"/>
              <w:rPr>
                <w:i/>
              </w:rPr>
            </w:pPr>
            <w:r w:rsidRPr="00257070">
              <w:rPr>
                <w:i/>
              </w:rPr>
              <w:t>356</w:t>
            </w:r>
          </w:p>
        </w:tc>
        <w:tc>
          <w:tcPr>
            <w:tcW w:w="1650" w:type="dxa"/>
          </w:tcPr>
          <w:p w:rsidR="00257070" w:rsidRPr="00257070" w:rsidRDefault="00257070" w:rsidP="00257070">
            <w:pPr>
              <w:spacing w:after="0" w:line="240" w:lineRule="auto"/>
              <w:rPr>
                <w:i/>
              </w:rPr>
            </w:pPr>
            <w:r w:rsidRPr="00257070">
              <w:rPr>
                <w:i/>
              </w:rPr>
              <w:t>-125</w:t>
            </w:r>
          </w:p>
        </w:tc>
      </w:tr>
      <w:tr w:rsidR="00257070" w:rsidRPr="00257070" w:rsidTr="00995941">
        <w:tc>
          <w:tcPr>
            <w:tcW w:w="4673" w:type="dxa"/>
          </w:tcPr>
          <w:p w:rsidR="00257070" w:rsidRPr="00257070" w:rsidRDefault="00257070" w:rsidP="00257070">
            <w:pPr>
              <w:spacing w:after="0" w:line="240" w:lineRule="auto"/>
              <w:rPr>
                <w:b/>
                <w:i/>
              </w:rPr>
            </w:pPr>
            <w:r w:rsidRPr="00257070">
              <w:rPr>
                <w:b/>
                <w:i/>
              </w:rPr>
              <w:t>Total</w:t>
            </w:r>
          </w:p>
        </w:tc>
        <w:tc>
          <w:tcPr>
            <w:tcW w:w="992" w:type="dxa"/>
          </w:tcPr>
          <w:p w:rsidR="00257070" w:rsidRPr="00257070" w:rsidRDefault="00195C99" w:rsidP="00257070">
            <w:pPr>
              <w:spacing w:after="0" w:line="240" w:lineRule="auto"/>
              <w:rPr>
                <w:b/>
                <w:i/>
              </w:rPr>
            </w:pPr>
            <w:r>
              <w:rPr>
                <w:b/>
                <w:i/>
              </w:rPr>
              <w:t>8486</w:t>
            </w:r>
          </w:p>
        </w:tc>
        <w:tc>
          <w:tcPr>
            <w:tcW w:w="1701" w:type="dxa"/>
          </w:tcPr>
          <w:p w:rsidR="00257070" w:rsidRPr="00257070" w:rsidRDefault="00257070" w:rsidP="00257070">
            <w:pPr>
              <w:spacing w:after="0" w:line="240" w:lineRule="auto"/>
              <w:rPr>
                <w:b/>
                <w:i/>
              </w:rPr>
            </w:pPr>
            <w:r w:rsidRPr="00257070">
              <w:rPr>
                <w:b/>
                <w:i/>
              </w:rPr>
              <w:t>7823</w:t>
            </w:r>
          </w:p>
        </w:tc>
        <w:tc>
          <w:tcPr>
            <w:tcW w:w="1650" w:type="dxa"/>
          </w:tcPr>
          <w:p w:rsidR="00257070" w:rsidRPr="00257070" w:rsidRDefault="00195C99" w:rsidP="00257070">
            <w:pPr>
              <w:spacing w:after="0" w:line="240" w:lineRule="auto"/>
              <w:rPr>
                <w:b/>
                <w:i/>
              </w:rPr>
            </w:pPr>
            <w:r>
              <w:rPr>
                <w:b/>
                <w:i/>
              </w:rPr>
              <w:t>-663</w:t>
            </w:r>
          </w:p>
        </w:tc>
      </w:tr>
    </w:tbl>
    <w:p w:rsidR="00257070" w:rsidRPr="00257070" w:rsidRDefault="00257070" w:rsidP="00257070">
      <w:pPr>
        <w:spacing w:after="160" w:line="259" w:lineRule="auto"/>
        <w:rPr>
          <w:i/>
        </w:rPr>
      </w:pPr>
    </w:p>
    <w:p w:rsidR="00257070" w:rsidRPr="00257070" w:rsidRDefault="00195C99" w:rsidP="00257070">
      <w:pPr>
        <w:spacing w:after="160" w:line="259" w:lineRule="auto"/>
      </w:pPr>
      <w:r>
        <w:rPr>
          <w:noProof/>
          <w:lang w:eastAsia="en-GB"/>
        </w:rPr>
        <w:drawing>
          <wp:inline distT="0" distB="0" distL="0" distR="0" wp14:anchorId="04270C25" wp14:editId="72EABEB8">
            <wp:extent cx="4572000" cy="2919413"/>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57070" w:rsidRPr="00257070" w:rsidRDefault="00257070" w:rsidP="00257070">
      <w:pPr>
        <w:spacing w:after="160" w:line="259" w:lineRule="auto"/>
      </w:pPr>
      <w:r w:rsidRPr="00257070">
        <w:t xml:space="preserve">The Council would advocate that the above table and graph shows that over a 16 year period there has not been a persistent under-delivery of housing.  The table shows that under-delivery only really started to occur after the recession hit the District when the whole housing market nationally was effected by outside economic factors.  </w:t>
      </w:r>
      <w:r w:rsidR="00195C99">
        <w:t>The Council would also advocate that affordability has not been an issue with the supply situation as median house prices are only just coming back to 2007 prices with terrace housing not reaching it yet.</w:t>
      </w:r>
    </w:p>
    <w:p w:rsidR="00257070" w:rsidRPr="00257070" w:rsidRDefault="00195C99" w:rsidP="00257070">
      <w:pPr>
        <w:spacing w:after="160" w:line="259" w:lineRule="auto"/>
      </w:pPr>
      <w:r w:rsidRPr="00257070">
        <w:rPr>
          <w:noProof/>
          <w:lang w:eastAsia="en-GB"/>
        </w:rPr>
        <w:drawing>
          <wp:inline distT="0" distB="0" distL="0" distR="0" wp14:anchorId="5D87A1D2" wp14:editId="3757ED7A">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7E05" w:rsidRDefault="00A97E05" w:rsidP="00A97E05">
      <w:pPr>
        <w:spacing w:after="160" w:line="259" w:lineRule="auto"/>
      </w:pPr>
      <w:r>
        <w:t>Over the whole 16 year period the under delivery is relatively low at 663 homes and the Council would advocate that the buffer should be 5%.</w:t>
      </w:r>
    </w:p>
    <w:p w:rsidR="006F48F8" w:rsidRDefault="006F48F8" w:rsidP="00861523">
      <w:pPr>
        <w:pStyle w:val="ListParagraph"/>
        <w:ind w:left="360"/>
      </w:pPr>
    </w:p>
    <w:p w:rsidR="00861523" w:rsidRPr="007131B9" w:rsidRDefault="00861523" w:rsidP="00861523">
      <w:pPr>
        <w:pStyle w:val="ListParagraph"/>
        <w:numPr>
          <w:ilvl w:val="0"/>
          <w:numId w:val="1"/>
        </w:numPr>
      </w:pPr>
      <w:r w:rsidRPr="007131B9">
        <w:t>Will both plans help to ensure that there will be a five year supply of deliverable sites for housing upon its adoption; and a rolling five year supply thereafter (assuming both a 5% and 20% additional buffer to ensure choice and competition in the market for land)?  Which sources of supply will ensure sufficient delivery, including allocated sites?  Are the sources of supply for each five year period set out in a supporting document?  Are proposed modifications ADM43, ADM44 and ADM7 (the latter amending the Core Strategy) necessary to make the plan sound?  Is ADM45 an additional/minor modification or is it necessary to make the plan sound?</w:t>
      </w:r>
    </w:p>
    <w:p w:rsidR="006A0F3E" w:rsidRDefault="006A0F3E" w:rsidP="006A0F3E">
      <w:pPr>
        <w:pStyle w:val="ListParagraph"/>
        <w:ind w:left="360"/>
      </w:pPr>
    </w:p>
    <w:p w:rsidR="006A0F3E" w:rsidRDefault="006A0F3E" w:rsidP="006A0F3E">
      <w:pPr>
        <w:pStyle w:val="ListParagraph"/>
        <w:ind w:left="360"/>
        <w:rPr>
          <w:i/>
        </w:rPr>
      </w:pPr>
      <w:r>
        <w:rPr>
          <w:i/>
        </w:rPr>
        <w:t>The Council believes that there will be a five year supply of deliverable sites for housing upon the Local Plan`s adoptio</w:t>
      </w:r>
      <w:r w:rsidR="00F215B9">
        <w:rPr>
          <w:i/>
        </w:rPr>
        <w:t>n.  Set out at ED31 and ED32 is a paper setting out the five year supply position and a housing trajectory of the allocated sites, inland and coastal commitments.  The trajectory shows that the Co</w:t>
      </w:r>
      <w:r w:rsidR="00B734C7">
        <w:rPr>
          <w:i/>
        </w:rPr>
        <w:t>uncil is seeking to deliver 3486</w:t>
      </w:r>
      <w:r w:rsidR="00F215B9">
        <w:rPr>
          <w:i/>
        </w:rPr>
        <w:t xml:space="preserve"> homes during the first five years of the plan and that if everything were to come forwar</w:t>
      </w:r>
      <w:r w:rsidR="00B734C7">
        <w:rPr>
          <w:i/>
        </w:rPr>
        <w:t>d as set out there would be 4577</w:t>
      </w:r>
      <w:r w:rsidR="00F215B9">
        <w:rPr>
          <w:i/>
        </w:rPr>
        <w:t xml:space="preserve"> homes completed.  Given the slowly rising number of completions, this is perhaps an over-estimate but it demonstrates that there is the ability to deliver in the first five years.</w:t>
      </w:r>
      <w:r w:rsidR="00D76D28">
        <w:rPr>
          <w:i/>
        </w:rPr>
        <w:t xml:space="preserve">  Setting out the housing supply it shows that with a 5% </w:t>
      </w:r>
      <w:r w:rsidR="007131B9">
        <w:rPr>
          <w:i/>
        </w:rPr>
        <w:t>buffer the 5 year supply is 6.35</w:t>
      </w:r>
      <w:r w:rsidR="00D76D28">
        <w:rPr>
          <w:i/>
        </w:rPr>
        <w:t xml:space="preserve"> years </w:t>
      </w:r>
      <w:r w:rsidR="007131B9">
        <w:rPr>
          <w:i/>
        </w:rPr>
        <w:t>and with a 20% buffer it is 5.55</w:t>
      </w:r>
      <w:r w:rsidR="00D76D28">
        <w:rPr>
          <w:i/>
        </w:rPr>
        <w:t xml:space="preserve"> years.</w:t>
      </w:r>
    </w:p>
    <w:p w:rsidR="00D76D28" w:rsidRDefault="00D76D28" w:rsidP="006A0F3E">
      <w:pPr>
        <w:pStyle w:val="ListParagraph"/>
        <w:ind w:left="360"/>
        <w:rPr>
          <w:i/>
        </w:rPr>
      </w:pPr>
    </w:p>
    <w:p w:rsidR="00D76D28" w:rsidRPr="007131B9" w:rsidRDefault="00D76D28" w:rsidP="006A0F3E">
      <w:pPr>
        <w:pStyle w:val="ListParagraph"/>
        <w:ind w:left="360"/>
        <w:rPr>
          <w:i/>
        </w:rPr>
      </w:pPr>
      <w:r>
        <w:rPr>
          <w:i/>
        </w:rPr>
        <w:t>Overall the trajectory at ED32 shows that over the plan period there is sufficient housing to satisfy the identified need of 7819</w:t>
      </w:r>
      <w:r w:rsidRPr="007131B9">
        <w:rPr>
          <w:i/>
        </w:rPr>
        <w:t xml:space="preserve">.  </w:t>
      </w:r>
      <w:r w:rsidR="00A5560E" w:rsidRPr="007131B9">
        <w:rPr>
          <w:i/>
        </w:rPr>
        <w:t>The plan target is 7819, the supply as set out in answer to question one is</w:t>
      </w:r>
      <w:r w:rsidR="00340B04">
        <w:rPr>
          <w:i/>
        </w:rPr>
        <w:t xml:space="preserve"> 8550</w:t>
      </w:r>
      <w:r w:rsidR="00A5560E" w:rsidRPr="007131B9">
        <w:rPr>
          <w:i/>
        </w:rPr>
        <w:t>.  T</w:t>
      </w:r>
      <w:r w:rsidR="00340B04">
        <w:rPr>
          <w:i/>
        </w:rPr>
        <w:t>his leaves a buffer of 9% or 731</w:t>
      </w:r>
      <w:r w:rsidR="00A5560E" w:rsidRPr="007131B9">
        <w:rPr>
          <w:i/>
        </w:rPr>
        <w:t xml:space="preserve">.  Add to that the 347 homes in </w:t>
      </w:r>
      <w:r w:rsidR="00340B04">
        <w:rPr>
          <w:i/>
        </w:rPr>
        <w:t xml:space="preserve">major </w:t>
      </w:r>
      <w:r w:rsidR="00A5560E" w:rsidRPr="007131B9">
        <w:rPr>
          <w:i/>
        </w:rPr>
        <w:t xml:space="preserve">applications in </w:t>
      </w:r>
      <w:r w:rsidR="00340B04">
        <w:rPr>
          <w:i/>
        </w:rPr>
        <w:t xml:space="preserve">windfall in </w:t>
      </w:r>
      <w:r w:rsidR="00A5560E" w:rsidRPr="007131B9">
        <w:rPr>
          <w:i/>
        </w:rPr>
        <w:t xml:space="preserve">the pipeline either moving toward an approval or waiting for S106 sign off and that figure rises to </w:t>
      </w:r>
      <w:r w:rsidR="00340B04">
        <w:rPr>
          <w:i/>
        </w:rPr>
        <w:t>1078</w:t>
      </w:r>
      <w:r w:rsidR="00A5560E" w:rsidRPr="007131B9">
        <w:rPr>
          <w:i/>
        </w:rPr>
        <w:t>.</w:t>
      </w:r>
      <w:r w:rsidRPr="007131B9">
        <w:rPr>
          <w:i/>
        </w:rPr>
        <w:t xml:space="preserve"> This is without the Council granting another permission over the plan period.</w:t>
      </w:r>
    </w:p>
    <w:p w:rsidR="00D76D28" w:rsidRDefault="00D76D28" w:rsidP="006A0F3E">
      <w:pPr>
        <w:pStyle w:val="ListParagraph"/>
        <w:ind w:left="360"/>
        <w:rPr>
          <w:i/>
        </w:rPr>
      </w:pPr>
    </w:p>
    <w:p w:rsidR="003F7A7C" w:rsidRDefault="003F7A7C" w:rsidP="006A0F3E">
      <w:pPr>
        <w:pStyle w:val="ListParagraph"/>
        <w:ind w:left="360"/>
        <w:rPr>
          <w:i/>
        </w:rPr>
      </w:pPr>
      <w:r>
        <w:rPr>
          <w:i/>
        </w:rPr>
        <w:t>ADM43 – This refers to paragraph 21 of policy SP3 and it is proposed to modify this paragraph so it reads as follows;</w:t>
      </w:r>
    </w:p>
    <w:p w:rsidR="003F7A7C" w:rsidRDefault="003F7A7C" w:rsidP="003F7A7C">
      <w:pPr>
        <w:ind w:left="360"/>
        <w:contextualSpacing/>
        <w:rPr>
          <w:rFonts w:eastAsia="Times New Roman" w:cs="Times New Roman"/>
          <w:i/>
          <w:noProof/>
          <w:sz w:val="24"/>
          <w:szCs w:val="24"/>
          <w:lang w:eastAsia="en-GB"/>
        </w:rPr>
      </w:pPr>
      <w:r w:rsidRPr="003F7A7C">
        <w:rPr>
          <w:rFonts w:eastAsia="Times New Roman" w:cs="Times New Roman"/>
          <w:i/>
          <w:noProof/>
          <w:sz w:val="24"/>
          <w:szCs w:val="24"/>
          <w:lang w:eastAsia="en-GB"/>
        </w:rPr>
        <w:t xml:space="preserve">Table B below shows the </w:t>
      </w:r>
      <w:r w:rsidRPr="003F7A7C">
        <w:rPr>
          <w:rFonts w:eastAsia="Times New Roman" w:cs="Times New Roman"/>
          <w:i/>
          <w:strike/>
          <w:noProof/>
          <w:color w:val="FF0000"/>
          <w:sz w:val="24"/>
          <w:szCs w:val="24"/>
          <w:lang w:eastAsia="en-GB"/>
        </w:rPr>
        <w:t>minimum</w:t>
      </w:r>
      <w:r w:rsidRPr="003F7A7C">
        <w:rPr>
          <w:rFonts w:eastAsia="Times New Roman" w:cs="Times New Roman"/>
          <w:i/>
          <w:noProof/>
          <w:sz w:val="24"/>
          <w:szCs w:val="24"/>
          <w:lang w:eastAsia="en-GB"/>
        </w:rPr>
        <w:t xml:space="preserve"> allocation of housing across the inland towns and large villages as set out in the Settlement Proposals Document. </w:t>
      </w:r>
      <w:r w:rsidRPr="003F7A7C">
        <w:rPr>
          <w:rFonts w:eastAsia="Times New Roman" w:cs="Times New Roman"/>
          <w:i/>
          <w:noProof/>
          <w:color w:val="2E74B5" w:themeColor="accent1" w:themeShade="BF"/>
          <w:sz w:val="24"/>
          <w:szCs w:val="24"/>
          <w:lang w:eastAsia="en-GB"/>
        </w:rPr>
        <w:t>These figures are not targets and should not be read as such</w:t>
      </w:r>
      <w:r w:rsidRPr="003F7A7C">
        <w:rPr>
          <w:rFonts w:eastAsia="Times New Roman" w:cs="Times New Roman"/>
          <w:i/>
          <w:noProof/>
          <w:sz w:val="24"/>
          <w:szCs w:val="24"/>
          <w:lang w:eastAsia="en-GB"/>
        </w:rPr>
        <w:t>.</w:t>
      </w:r>
    </w:p>
    <w:p w:rsidR="003F7A7C" w:rsidRDefault="003F7A7C" w:rsidP="003F7A7C">
      <w:pPr>
        <w:ind w:left="360"/>
        <w:contextualSpacing/>
        <w:rPr>
          <w:rFonts w:eastAsia="Times New Roman" w:cs="Times New Roman"/>
          <w:i/>
          <w:noProof/>
          <w:sz w:val="24"/>
          <w:szCs w:val="24"/>
          <w:lang w:eastAsia="en-GB"/>
        </w:rPr>
      </w:pPr>
    </w:p>
    <w:p w:rsidR="003F7A7C" w:rsidRDefault="003F7A7C" w:rsidP="003F7A7C">
      <w:pPr>
        <w:ind w:left="360"/>
        <w:contextualSpacing/>
        <w:rPr>
          <w:rFonts w:eastAsia="Times New Roman" w:cs="Times New Roman"/>
          <w:i/>
          <w:noProof/>
          <w:sz w:val="24"/>
          <w:szCs w:val="24"/>
          <w:lang w:eastAsia="en-GB"/>
        </w:rPr>
      </w:pPr>
      <w:r>
        <w:rPr>
          <w:rFonts w:eastAsia="Times New Roman" w:cs="Times New Roman"/>
          <w:i/>
          <w:noProof/>
          <w:sz w:val="24"/>
          <w:szCs w:val="24"/>
          <w:lang w:eastAsia="en-GB"/>
        </w:rPr>
        <w:t>ADM44 is a minor modification as is a typo.</w:t>
      </w:r>
    </w:p>
    <w:p w:rsidR="003F7A7C" w:rsidRDefault="003F7A7C" w:rsidP="003F7A7C">
      <w:pPr>
        <w:ind w:left="360"/>
        <w:contextualSpacing/>
        <w:rPr>
          <w:rFonts w:eastAsia="Times New Roman" w:cs="Times New Roman"/>
          <w:i/>
          <w:noProof/>
          <w:sz w:val="24"/>
          <w:szCs w:val="24"/>
          <w:lang w:eastAsia="en-GB"/>
        </w:rPr>
      </w:pPr>
    </w:p>
    <w:p w:rsidR="003F7A7C" w:rsidRDefault="003F7A7C" w:rsidP="003F7A7C">
      <w:pPr>
        <w:ind w:left="360"/>
        <w:contextualSpacing/>
        <w:rPr>
          <w:rFonts w:eastAsia="Times New Roman" w:cs="Times New Roman"/>
          <w:i/>
          <w:noProof/>
          <w:sz w:val="24"/>
          <w:szCs w:val="24"/>
          <w:lang w:eastAsia="en-GB"/>
        </w:rPr>
      </w:pPr>
      <w:r>
        <w:rPr>
          <w:rFonts w:eastAsia="Times New Roman" w:cs="Times New Roman"/>
          <w:i/>
          <w:noProof/>
          <w:sz w:val="24"/>
          <w:szCs w:val="24"/>
          <w:lang w:eastAsia="en-GB"/>
        </w:rPr>
        <w:t>The modification adds clarity for those reading the plan that the housing requirment is not a target as such with a ceiling.</w:t>
      </w:r>
    </w:p>
    <w:p w:rsidR="003F7A7C" w:rsidRDefault="003F7A7C" w:rsidP="003F7A7C">
      <w:pPr>
        <w:ind w:left="360"/>
        <w:contextualSpacing/>
        <w:rPr>
          <w:rFonts w:eastAsia="Times New Roman" w:cs="Times New Roman"/>
          <w:i/>
          <w:noProof/>
          <w:sz w:val="24"/>
          <w:szCs w:val="24"/>
          <w:lang w:eastAsia="en-GB"/>
        </w:rPr>
      </w:pPr>
    </w:p>
    <w:p w:rsidR="003F7A7C" w:rsidRDefault="003F7A7C" w:rsidP="003F7A7C">
      <w:pPr>
        <w:ind w:left="360"/>
        <w:contextualSpacing/>
        <w:rPr>
          <w:i/>
        </w:rPr>
      </w:pPr>
      <w:r>
        <w:rPr>
          <w:rFonts w:eastAsia="Times New Roman" w:cs="Times New Roman"/>
          <w:i/>
          <w:noProof/>
          <w:sz w:val="24"/>
          <w:szCs w:val="24"/>
          <w:lang w:eastAsia="en-GB"/>
        </w:rPr>
        <w:t>ADM45 is a transcription error</w:t>
      </w:r>
    </w:p>
    <w:p w:rsidR="00D76D28" w:rsidRPr="00F215B9" w:rsidRDefault="00D76D28" w:rsidP="006A0F3E">
      <w:pPr>
        <w:pStyle w:val="ListParagraph"/>
        <w:ind w:left="360"/>
        <w:rPr>
          <w:i/>
          <w:sz w:val="28"/>
        </w:rPr>
      </w:pPr>
      <w:r>
        <w:rPr>
          <w:i/>
        </w:rPr>
        <w:t>ADM7 – this is not relevant now and has been removed</w:t>
      </w:r>
    </w:p>
    <w:p w:rsidR="00861523" w:rsidRDefault="00861523" w:rsidP="00861523">
      <w:pPr>
        <w:pStyle w:val="ListParagraph"/>
        <w:ind w:left="360"/>
      </w:pPr>
    </w:p>
    <w:p w:rsidR="00861523" w:rsidRDefault="00861523" w:rsidP="00861523">
      <w:pPr>
        <w:pStyle w:val="ListParagraph"/>
        <w:numPr>
          <w:ilvl w:val="0"/>
          <w:numId w:val="1"/>
        </w:numPr>
      </w:pPr>
      <w:r w:rsidRPr="003314A6">
        <w:t>The analysis tables indicate that the majority of sites are expected to be developed within the first five years of the plan period.  Is this realistic</w:t>
      </w:r>
      <w:r>
        <w:t>?</w:t>
      </w:r>
      <w:r w:rsidRPr="003314A6">
        <w:t xml:space="preserve"> Would there be any impediment to development coming forward in this way in respect of infrastructure provision etc?  </w:t>
      </w:r>
    </w:p>
    <w:p w:rsidR="003F7A7C" w:rsidRPr="003F7A7C" w:rsidRDefault="003F7A7C" w:rsidP="003F7A7C">
      <w:pPr>
        <w:spacing w:after="0"/>
        <w:ind w:left="360"/>
        <w:contextualSpacing/>
        <w:rPr>
          <w:rFonts w:eastAsia="Calibri" w:cs="Times New Roman"/>
        </w:rPr>
      </w:pPr>
      <w:r w:rsidRPr="003F7A7C">
        <w:rPr>
          <w:rFonts w:eastAsia="Calibri" w:cs="Times New Roman"/>
          <w:i/>
        </w:rPr>
        <w:t xml:space="preserve">The majority of owners/developers of sites have told the Council that they are going to bring their sites forward within the first five years, it is very unlikely that </w:t>
      </w:r>
      <w:r>
        <w:rPr>
          <w:rFonts w:eastAsia="Calibri" w:cs="Times New Roman"/>
          <w:i/>
        </w:rPr>
        <w:t>this will happen on the ground.  The Council has prepared a plan period trajectory setting out what we believe could come forward over the period.  This is shown as ED32</w:t>
      </w:r>
      <w:r w:rsidR="00E06286">
        <w:rPr>
          <w:rFonts w:eastAsia="Calibri" w:cs="Times New Roman"/>
          <w:i/>
        </w:rPr>
        <w:t>.  The Council has tried to build into the plan period trajectory any known impediments to sites coming forward where it may take longer. T</w:t>
      </w:r>
      <w:r w:rsidRPr="003F7A7C">
        <w:rPr>
          <w:rFonts w:eastAsia="Calibri" w:cs="Times New Roman"/>
          <w:i/>
        </w:rPr>
        <w:t xml:space="preserve">he statutory providers were consulted on the growth targets for all the settlements and made no </w:t>
      </w:r>
      <w:r w:rsidR="00E06286">
        <w:rPr>
          <w:rFonts w:eastAsia="Calibri" w:cs="Times New Roman"/>
          <w:i/>
        </w:rPr>
        <w:t xml:space="preserve">major </w:t>
      </w:r>
      <w:r w:rsidRPr="003F7A7C">
        <w:rPr>
          <w:rFonts w:eastAsia="Calibri" w:cs="Times New Roman"/>
          <w:i/>
        </w:rPr>
        <w:t>objection</w:t>
      </w:r>
      <w:r w:rsidR="00E06286">
        <w:rPr>
          <w:rFonts w:eastAsia="Calibri" w:cs="Times New Roman"/>
          <w:i/>
        </w:rPr>
        <w:t>s</w:t>
      </w:r>
      <w:r w:rsidRPr="003F7A7C">
        <w:rPr>
          <w:rFonts w:eastAsia="Calibri" w:cs="Times New Roman"/>
          <w:i/>
        </w:rPr>
        <w:t xml:space="preserve"> to the amount of growth proposed</w:t>
      </w:r>
      <w:r w:rsidR="00E06286">
        <w:rPr>
          <w:rFonts w:eastAsia="Calibri" w:cs="Times New Roman"/>
          <w:i/>
        </w:rPr>
        <w:t xml:space="preserve"> overall</w:t>
      </w:r>
      <w:r w:rsidRPr="003F7A7C">
        <w:rPr>
          <w:rFonts w:eastAsia="Calibri" w:cs="Times New Roman"/>
          <w:i/>
        </w:rPr>
        <w:t>.</w:t>
      </w:r>
    </w:p>
    <w:p w:rsidR="00861523" w:rsidRDefault="00861523" w:rsidP="00861523">
      <w:pPr>
        <w:pStyle w:val="ListParagraph"/>
        <w:ind w:left="360"/>
      </w:pPr>
    </w:p>
    <w:p w:rsidR="00861523" w:rsidRDefault="00861523" w:rsidP="00861523">
      <w:pPr>
        <w:pStyle w:val="ListParagraph"/>
        <w:numPr>
          <w:ilvl w:val="0"/>
          <w:numId w:val="1"/>
        </w:numPr>
      </w:pPr>
      <w:r>
        <w:t>How will the supply of sites be monitored and managed to ensure a rolling five year supply of specific deliverable sites throughout the plan period?</w:t>
      </w:r>
      <w:r w:rsidRPr="00D20348">
        <w:t xml:space="preserve"> </w:t>
      </w:r>
      <w:r>
        <w:t xml:space="preserve"> </w:t>
      </w:r>
      <w:r w:rsidRPr="00D20348">
        <w:t xml:space="preserve">Should the plan include a trajectory for the expected </w:t>
      </w:r>
      <w:r>
        <w:t>rate of delivery of market and affordable housing for the plan period?</w:t>
      </w:r>
    </w:p>
    <w:p w:rsidR="00E06286" w:rsidRDefault="00E06286" w:rsidP="00E06286">
      <w:pPr>
        <w:ind w:left="360"/>
        <w:contextualSpacing/>
        <w:rPr>
          <w:rFonts w:eastAsia="Calibri" w:cs="Times New Roman"/>
          <w:i/>
        </w:rPr>
      </w:pPr>
      <w:r w:rsidRPr="00E06286">
        <w:rPr>
          <w:rFonts w:eastAsia="Calibri" w:cs="Times New Roman"/>
          <w:i/>
        </w:rPr>
        <w:t>The Council has a very robust system in place for monitoring and managing housing supply, there is 2 and half days a week in officer time set aside for this with additional resource at the yearly monitoring time (January/February). Every month all approvals are logged onto the Council`s Housing Position statement, the history of each site being checked to make s</w:t>
      </w:r>
      <w:r w:rsidR="005E7BB3">
        <w:rPr>
          <w:rFonts w:eastAsia="Calibri" w:cs="Times New Roman"/>
          <w:i/>
        </w:rPr>
        <w:t xml:space="preserve">ure there is no double counting.  </w:t>
      </w:r>
      <w:r w:rsidRPr="00E06286">
        <w:rPr>
          <w:rFonts w:eastAsia="Calibri" w:cs="Times New Roman"/>
          <w:i/>
        </w:rPr>
        <w:t xml:space="preserve">All building control starts and completions are also logged every month.  Expiries are monitored every six months.  The Council also contacts all owners/developers of sites to ask when sites are going to be delivered, makes site visits periodically and feeds onto the position statement information from the planning officers about sites.  The Position Statement is also published on the Council`s website.  </w:t>
      </w:r>
      <w:r w:rsidR="005E7BB3">
        <w:rPr>
          <w:rFonts w:eastAsia="Calibri" w:cs="Times New Roman"/>
          <w:i/>
        </w:rPr>
        <w:t>Rebasing housing through the local plan examination process has allowed the Council to “housekeep” its position statement and start again at 2017.  This will assist with monitoring by making the position statement easier to manage.</w:t>
      </w:r>
    </w:p>
    <w:p w:rsidR="005E7BB3" w:rsidRDefault="005E7BB3" w:rsidP="00E06286">
      <w:pPr>
        <w:ind w:left="360"/>
        <w:contextualSpacing/>
        <w:rPr>
          <w:rFonts w:eastAsia="Calibri" w:cs="Times New Roman"/>
          <w:i/>
        </w:rPr>
      </w:pPr>
    </w:p>
    <w:p w:rsidR="00861523" w:rsidRDefault="005E7BB3" w:rsidP="005E7BB3">
      <w:pPr>
        <w:ind w:left="360"/>
        <w:contextualSpacing/>
      </w:pPr>
      <w:r>
        <w:rPr>
          <w:rFonts w:eastAsia="Calibri" w:cs="Times New Roman"/>
          <w:i/>
        </w:rPr>
        <w:t>With regard to a trajectory, please see the answer to question 3 above, which sets out the proposed housing trajectory as a main modification.</w:t>
      </w:r>
    </w:p>
    <w:p w:rsidR="00861523" w:rsidRDefault="00861523" w:rsidP="00861523">
      <w:pPr>
        <w:pStyle w:val="ListParagraph"/>
        <w:numPr>
          <w:ilvl w:val="0"/>
          <w:numId w:val="1"/>
        </w:numPr>
        <w:spacing w:after="0"/>
      </w:pPr>
      <w:r w:rsidRPr="004065A6">
        <w:t>No housing</w:t>
      </w:r>
      <w:r>
        <w:t xml:space="preserve"> allocations are proposed to be made in Horncastle, Huttoft and Partney due to the number of existing commitments being adequate to meet the requirement.  Should the maps for these settlements show the commitments to be relied upon (as appears to have been done in the coastal settlements)?  Are these commitments listed somewhere? Would there be any benefit in allocating some or all of these sites in the plan?</w:t>
      </w:r>
    </w:p>
    <w:p w:rsidR="005E7BB3" w:rsidRDefault="005E7BB3" w:rsidP="005E7BB3">
      <w:pPr>
        <w:pStyle w:val="ListParagraph"/>
        <w:spacing w:after="0"/>
        <w:ind w:left="360"/>
      </w:pPr>
    </w:p>
    <w:p w:rsidR="005E7BB3" w:rsidRPr="005E7BB3" w:rsidRDefault="005E7BB3" w:rsidP="005E7BB3">
      <w:pPr>
        <w:spacing w:after="0"/>
        <w:ind w:left="360"/>
        <w:contextualSpacing/>
        <w:rPr>
          <w:rFonts w:eastAsia="Calibri" w:cs="Times New Roman"/>
          <w:i/>
        </w:rPr>
      </w:pPr>
      <w:r w:rsidRPr="005E7BB3">
        <w:rPr>
          <w:rFonts w:eastAsia="Calibri" w:cs="Times New Roman"/>
          <w:i/>
        </w:rPr>
        <w:t xml:space="preserve">Many of the commitments, especially in Horncastle are for single plots and would not show clearly on a map.  The Council did debate whether to place the commitments on a map but it just was not clear because of site size and it was felt that publication on the website was a more effective mechanism for telling residents and other interested parties where they were.  </w:t>
      </w:r>
    </w:p>
    <w:p w:rsidR="005E7BB3" w:rsidRPr="005E7BB3" w:rsidRDefault="005E7BB3" w:rsidP="005E7BB3">
      <w:pPr>
        <w:spacing w:after="0"/>
        <w:ind w:left="360"/>
        <w:contextualSpacing/>
        <w:rPr>
          <w:rFonts w:eastAsia="Calibri" w:cs="Times New Roman"/>
          <w:i/>
        </w:rPr>
      </w:pPr>
    </w:p>
    <w:p w:rsidR="005E7BB3" w:rsidRPr="005E7BB3" w:rsidRDefault="005E7BB3" w:rsidP="005E7BB3">
      <w:pPr>
        <w:spacing w:after="0"/>
        <w:ind w:left="360"/>
        <w:contextualSpacing/>
        <w:rPr>
          <w:rFonts w:eastAsia="Calibri" w:cs="Times New Roman"/>
          <w:i/>
        </w:rPr>
      </w:pPr>
      <w:r w:rsidRPr="005E7BB3">
        <w:rPr>
          <w:rFonts w:eastAsia="Calibri" w:cs="Times New Roman"/>
          <w:i/>
        </w:rPr>
        <w:t xml:space="preserve">Also planning permissions granted as commitments change and therefore placing them on a map would only be a snapshot of the situation as at the time of the publication of the plan.  </w:t>
      </w:r>
    </w:p>
    <w:p w:rsidR="005E7BB3" w:rsidRPr="005E7BB3" w:rsidRDefault="005E7BB3" w:rsidP="005E7BB3">
      <w:pPr>
        <w:spacing w:after="0"/>
        <w:ind w:left="360"/>
        <w:contextualSpacing/>
        <w:rPr>
          <w:rFonts w:eastAsia="Calibri" w:cs="Times New Roman"/>
          <w:i/>
        </w:rPr>
      </w:pPr>
    </w:p>
    <w:p w:rsidR="005E7BB3" w:rsidRPr="005E7BB3" w:rsidRDefault="005E7BB3" w:rsidP="005E7BB3">
      <w:pPr>
        <w:spacing w:after="0"/>
        <w:ind w:left="360"/>
        <w:contextualSpacing/>
        <w:rPr>
          <w:rFonts w:eastAsia="Calibri" w:cs="Times New Roman"/>
          <w:i/>
        </w:rPr>
      </w:pPr>
      <w:r w:rsidRPr="005E7BB3">
        <w:rPr>
          <w:rFonts w:eastAsia="Calibri" w:cs="Times New Roman"/>
          <w:i/>
        </w:rPr>
        <w:t xml:space="preserve">All the commitments across the whole District are shown on the Council`s position statement which is published on the Council`s website so everyone can see it.  </w:t>
      </w:r>
    </w:p>
    <w:p w:rsidR="00861523" w:rsidRPr="002A4C41" w:rsidRDefault="00861523" w:rsidP="00861523">
      <w:pPr>
        <w:spacing w:after="0"/>
      </w:pPr>
    </w:p>
    <w:p w:rsidR="00861523" w:rsidRPr="007131B9" w:rsidRDefault="00861523" w:rsidP="00861523">
      <w:pPr>
        <w:spacing w:after="0"/>
        <w:rPr>
          <w:i/>
          <w:u w:val="single"/>
        </w:rPr>
      </w:pPr>
      <w:r w:rsidRPr="007131B9">
        <w:rPr>
          <w:i/>
          <w:u w:val="single"/>
        </w:rPr>
        <w:t>Supply of affordable housing</w:t>
      </w:r>
    </w:p>
    <w:p w:rsidR="00861523" w:rsidRPr="007131B9" w:rsidRDefault="00861523" w:rsidP="00861523">
      <w:pPr>
        <w:spacing w:after="0"/>
      </w:pPr>
    </w:p>
    <w:p w:rsidR="00C36E31" w:rsidRPr="007131B9" w:rsidRDefault="00861523" w:rsidP="00861523">
      <w:pPr>
        <w:pStyle w:val="ListParagraph"/>
        <w:numPr>
          <w:ilvl w:val="0"/>
          <w:numId w:val="3"/>
        </w:numPr>
        <w:spacing w:after="0"/>
        <w:ind w:left="426" w:hanging="426"/>
      </w:pPr>
      <w:r w:rsidRPr="007131B9">
        <w:t xml:space="preserve">The Core Strategy sets a requirement for 2825 affordable dwellings to be delivered in the period 2016-2031.  How many affordable dwellings will the plan deliver in this period against this requirement and from what sources? </w:t>
      </w:r>
    </w:p>
    <w:p w:rsidR="00C36E31" w:rsidRPr="007131B9" w:rsidRDefault="00C36E31" w:rsidP="00C36E31">
      <w:pPr>
        <w:pStyle w:val="ListParagraph"/>
        <w:spacing w:after="0"/>
        <w:ind w:left="426"/>
      </w:pPr>
    </w:p>
    <w:p w:rsidR="00C36E31" w:rsidRPr="007131B9" w:rsidRDefault="00C36E31" w:rsidP="00C36E31">
      <w:pPr>
        <w:pStyle w:val="ListParagraph"/>
        <w:spacing w:after="0"/>
        <w:ind w:left="426"/>
      </w:pPr>
      <w:r w:rsidRPr="007131B9">
        <w:rPr>
          <w:i/>
        </w:rPr>
        <w:t>Set out below is a table showing the potential supply of affordable housing over the plan period</w:t>
      </w:r>
      <w:r w:rsidRPr="007131B9">
        <w:t>.</w:t>
      </w:r>
    </w:p>
    <w:p w:rsidR="00C36E31" w:rsidRPr="007131B9" w:rsidRDefault="00C36E31" w:rsidP="00C36E31">
      <w:pPr>
        <w:pStyle w:val="ListParagraph"/>
        <w:spacing w:after="0"/>
        <w:ind w:left="426"/>
      </w:pPr>
    </w:p>
    <w:p w:rsidR="00C36E31" w:rsidRDefault="00C36E31" w:rsidP="00C36E31">
      <w:pPr>
        <w:pStyle w:val="ListParagraph"/>
        <w:spacing w:after="0"/>
        <w:ind w:left="426"/>
        <w:rPr>
          <w:color w:val="0070C0"/>
        </w:rPr>
      </w:pPr>
    </w:p>
    <w:tbl>
      <w:tblPr>
        <w:tblStyle w:val="TableGrid"/>
        <w:tblW w:w="0" w:type="auto"/>
        <w:tblInd w:w="426" w:type="dxa"/>
        <w:tblLook w:val="04A0" w:firstRow="1" w:lastRow="0" w:firstColumn="1" w:lastColumn="0" w:noHBand="0" w:noVBand="1"/>
      </w:tblPr>
      <w:tblGrid>
        <w:gridCol w:w="4325"/>
        <w:gridCol w:w="4265"/>
      </w:tblGrid>
      <w:tr w:rsidR="003C27FF" w:rsidRPr="00C36E31" w:rsidTr="003C27FF">
        <w:tc>
          <w:tcPr>
            <w:tcW w:w="4325" w:type="dxa"/>
          </w:tcPr>
          <w:p w:rsidR="003C27FF" w:rsidRDefault="003C27FF" w:rsidP="00C36E31">
            <w:pPr>
              <w:pStyle w:val="ListParagraph"/>
              <w:spacing w:after="0"/>
              <w:ind w:left="0"/>
              <w:rPr>
                <w:i/>
                <w:color w:val="0070C0"/>
              </w:rPr>
            </w:pPr>
            <w:r>
              <w:rPr>
                <w:i/>
                <w:color w:val="0070C0"/>
              </w:rPr>
              <w:t>Identified need including backlog 2016 – 2031</w:t>
            </w:r>
          </w:p>
        </w:tc>
        <w:tc>
          <w:tcPr>
            <w:tcW w:w="4265" w:type="dxa"/>
          </w:tcPr>
          <w:p w:rsidR="003C27FF" w:rsidRDefault="003C27FF" w:rsidP="00C36E31">
            <w:pPr>
              <w:pStyle w:val="ListParagraph"/>
              <w:spacing w:after="0"/>
              <w:ind w:left="0"/>
              <w:rPr>
                <w:i/>
                <w:color w:val="0070C0"/>
              </w:rPr>
            </w:pPr>
            <w:r>
              <w:rPr>
                <w:i/>
                <w:color w:val="0070C0"/>
              </w:rPr>
              <w:t>2825 or 188 a year for 14 years and 193 for 1 year</w:t>
            </w:r>
          </w:p>
        </w:tc>
      </w:tr>
      <w:tr w:rsidR="003C27FF" w:rsidRPr="00C36E31" w:rsidTr="003C27FF">
        <w:tc>
          <w:tcPr>
            <w:tcW w:w="4325" w:type="dxa"/>
          </w:tcPr>
          <w:p w:rsidR="003C27FF" w:rsidRDefault="003C27FF" w:rsidP="00C36E31">
            <w:pPr>
              <w:pStyle w:val="ListParagraph"/>
              <w:spacing w:after="0"/>
              <w:ind w:left="0"/>
              <w:rPr>
                <w:i/>
                <w:color w:val="0070C0"/>
              </w:rPr>
            </w:pPr>
            <w:r>
              <w:rPr>
                <w:i/>
                <w:color w:val="0070C0"/>
              </w:rPr>
              <w:t>Completions 2016</w:t>
            </w:r>
          </w:p>
        </w:tc>
        <w:tc>
          <w:tcPr>
            <w:tcW w:w="4265" w:type="dxa"/>
          </w:tcPr>
          <w:p w:rsidR="003C27FF" w:rsidRDefault="00FA7B1D" w:rsidP="00C36E31">
            <w:pPr>
              <w:pStyle w:val="ListParagraph"/>
              <w:spacing w:after="0"/>
              <w:ind w:left="0"/>
              <w:rPr>
                <w:i/>
                <w:color w:val="0070C0"/>
              </w:rPr>
            </w:pPr>
            <w:r>
              <w:rPr>
                <w:i/>
                <w:color w:val="0070C0"/>
              </w:rPr>
              <w:t>158</w:t>
            </w:r>
          </w:p>
        </w:tc>
      </w:tr>
      <w:tr w:rsidR="003C27FF" w:rsidRPr="00C36E31" w:rsidTr="003C27FF">
        <w:tc>
          <w:tcPr>
            <w:tcW w:w="4325" w:type="dxa"/>
          </w:tcPr>
          <w:p w:rsidR="00FA7B1D" w:rsidRDefault="003C27FF" w:rsidP="00C36E31">
            <w:pPr>
              <w:pStyle w:val="ListParagraph"/>
              <w:spacing w:after="0"/>
              <w:ind w:left="0"/>
              <w:rPr>
                <w:i/>
                <w:color w:val="0070C0"/>
              </w:rPr>
            </w:pPr>
            <w:r>
              <w:rPr>
                <w:i/>
                <w:color w:val="0070C0"/>
              </w:rPr>
              <w:t>Remaining need from 2017 – 2031</w:t>
            </w:r>
          </w:p>
          <w:p w:rsidR="003C27FF" w:rsidRDefault="003C27FF" w:rsidP="00C36E31">
            <w:pPr>
              <w:pStyle w:val="ListParagraph"/>
              <w:spacing w:after="0"/>
              <w:ind w:left="0"/>
              <w:rPr>
                <w:i/>
                <w:color w:val="0070C0"/>
              </w:rPr>
            </w:pPr>
          </w:p>
        </w:tc>
        <w:tc>
          <w:tcPr>
            <w:tcW w:w="4265" w:type="dxa"/>
          </w:tcPr>
          <w:p w:rsidR="003C27FF" w:rsidRDefault="00FA7B1D" w:rsidP="00C36E31">
            <w:pPr>
              <w:pStyle w:val="ListParagraph"/>
              <w:spacing w:after="0"/>
              <w:ind w:left="0"/>
              <w:rPr>
                <w:i/>
                <w:color w:val="0070C0"/>
              </w:rPr>
            </w:pPr>
            <w:r>
              <w:rPr>
                <w:i/>
                <w:color w:val="0070C0"/>
              </w:rPr>
              <w:t>2667</w:t>
            </w:r>
          </w:p>
        </w:tc>
      </w:tr>
      <w:tr w:rsidR="003C27FF" w:rsidRPr="00C36E31" w:rsidTr="003C27FF">
        <w:tc>
          <w:tcPr>
            <w:tcW w:w="4325" w:type="dxa"/>
            <w:shd w:val="clear" w:color="auto" w:fill="E7E6E6" w:themeFill="background2"/>
          </w:tcPr>
          <w:p w:rsidR="003C27FF" w:rsidRDefault="003C27FF" w:rsidP="00C36E31">
            <w:pPr>
              <w:pStyle w:val="ListParagraph"/>
              <w:spacing w:after="0"/>
              <w:ind w:left="0"/>
              <w:rPr>
                <w:i/>
                <w:color w:val="0070C0"/>
              </w:rPr>
            </w:pPr>
          </w:p>
        </w:tc>
        <w:tc>
          <w:tcPr>
            <w:tcW w:w="4265" w:type="dxa"/>
            <w:shd w:val="clear" w:color="auto" w:fill="E7E6E6" w:themeFill="background2"/>
          </w:tcPr>
          <w:p w:rsidR="003C27FF" w:rsidRDefault="003C27FF" w:rsidP="00C36E31">
            <w:pPr>
              <w:pStyle w:val="ListParagraph"/>
              <w:spacing w:after="0"/>
              <w:ind w:left="0"/>
              <w:rPr>
                <w:i/>
                <w:color w:val="0070C0"/>
              </w:rPr>
            </w:pPr>
          </w:p>
        </w:tc>
      </w:tr>
      <w:tr w:rsidR="003C27FF" w:rsidRPr="00C36E31" w:rsidTr="003C27FF">
        <w:tc>
          <w:tcPr>
            <w:tcW w:w="4325" w:type="dxa"/>
          </w:tcPr>
          <w:p w:rsidR="003C27FF" w:rsidRDefault="003C27FF" w:rsidP="00C36E31">
            <w:pPr>
              <w:pStyle w:val="ListParagraph"/>
              <w:spacing w:after="0"/>
              <w:ind w:left="0"/>
              <w:rPr>
                <w:i/>
                <w:color w:val="0070C0"/>
              </w:rPr>
            </w:pPr>
            <w:r>
              <w:rPr>
                <w:i/>
                <w:color w:val="0070C0"/>
              </w:rPr>
              <w:t>Supply</w:t>
            </w:r>
          </w:p>
        </w:tc>
        <w:tc>
          <w:tcPr>
            <w:tcW w:w="4265" w:type="dxa"/>
          </w:tcPr>
          <w:p w:rsidR="003C27FF" w:rsidRDefault="003C27FF" w:rsidP="00C36E31">
            <w:pPr>
              <w:pStyle w:val="ListParagraph"/>
              <w:spacing w:after="0"/>
              <w:ind w:left="0"/>
              <w:rPr>
                <w:i/>
                <w:color w:val="0070C0"/>
              </w:rPr>
            </w:pPr>
          </w:p>
        </w:tc>
      </w:tr>
      <w:tr w:rsidR="00C36E31" w:rsidRPr="00C36E31" w:rsidTr="003C27FF">
        <w:tc>
          <w:tcPr>
            <w:tcW w:w="4325" w:type="dxa"/>
          </w:tcPr>
          <w:p w:rsidR="00C36E31" w:rsidRPr="00C36E31" w:rsidRDefault="00C36E31" w:rsidP="00C36E31">
            <w:pPr>
              <w:pStyle w:val="ListParagraph"/>
              <w:spacing w:after="0"/>
              <w:ind w:left="0"/>
              <w:rPr>
                <w:i/>
                <w:color w:val="0070C0"/>
              </w:rPr>
            </w:pPr>
            <w:r>
              <w:rPr>
                <w:i/>
                <w:color w:val="0070C0"/>
              </w:rPr>
              <w:t>Inland housing allocations</w:t>
            </w:r>
          </w:p>
        </w:tc>
        <w:tc>
          <w:tcPr>
            <w:tcW w:w="4265" w:type="dxa"/>
          </w:tcPr>
          <w:p w:rsidR="00C36E31" w:rsidRPr="00C36E31" w:rsidRDefault="008D7D08" w:rsidP="00C36E31">
            <w:pPr>
              <w:pStyle w:val="ListParagraph"/>
              <w:spacing w:after="0"/>
              <w:ind w:left="0"/>
              <w:rPr>
                <w:i/>
                <w:color w:val="0070C0"/>
              </w:rPr>
            </w:pPr>
            <w:r>
              <w:rPr>
                <w:i/>
                <w:color w:val="0070C0"/>
              </w:rPr>
              <w:t>1233</w:t>
            </w:r>
          </w:p>
        </w:tc>
      </w:tr>
      <w:tr w:rsidR="00C36E31" w:rsidRPr="00C36E31" w:rsidTr="003C27FF">
        <w:tc>
          <w:tcPr>
            <w:tcW w:w="4325" w:type="dxa"/>
          </w:tcPr>
          <w:p w:rsidR="00C36E31" w:rsidRPr="00C36E31" w:rsidRDefault="00C36E31" w:rsidP="00C36E31">
            <w:pPr>
              <w:pStyle w:val="ListParagraph"/>
              <w:spacing w:after="0"/>
              <w:ind w:left="0"/>
              <w:rPr>
                <w:i/>
                <w:color w:val="0070C0"/>
              </w:rPr>
            </w:pPr>
            <w:r>
              <w:rPr>
                <w:i/>
                <w:color w:val="0070C0"/>
              </w:rPr>
              <w:t>Inland commitments</w:t>
            </w:r>
          </w:p>
        </w:tc>
        <w:tc>
          <w:tcPr>
            <w:tcW w:w="4265" w:type="dxa"/>
          </w:tcPr>
          <w:p w:rsidR="00C36E31" w:rsidRPr="00C36E31" w:rsidRDefault="00340B04" w:rsidP="00C36E31">
            <w:pPr>
              <w:pStyle w:val="ListParagraph"/>
              <w:spacing w:after="0"/>
              <w:ind w:left="0"/>
              <w:rPr>
                <w:i/>
                <w:color w:val="0070C0"/>
              </w:rPr>
            </w:pPr>
            <w:r>
              <w:rPr>
                <w:i/>
                <w:color w:val="0070C0"/>
              </w:rPr>
              <w:t>598</w:t>
            </w:r>
          </w:p>
        </w:tc>
      </w:tr>
      <w:tr w:rsidR="00C36E31" w:rsidRPr="00C36E31" w:rsidTr="003C27FF">
        <w:tc>
          <w:tcPr>
            <w:tcW w:w="4325" w:type="dxa"/>
          </w:tcPr>
          <w:p w:rsidR="00C36E31" w:rsidRPr="00C36E31" w:rsidRDefault="00C36E31" w:rsidP="00C36E31">
            <w:pPr>
              <w:pStyle w:val="ListParagraph"/>
              <w:spacing w:after="0"/>
              <w:ind w:left="0"/>
              <w:rPr>
                <w:i/>
                <w:color w:val="0070C0"/>
              </w:rPr>
            </w:pPr>
            <w:r>
              <w:rPr>
                <w:i/>
                <w:color w:val="0070C0"/>
              </w:rPr>
              <w:t>Coastal commitments</w:t>
            </w:r>
          </w:p>
        </w:tc>
        <w:tc>
          <w:tcPr>
            <w:tcW w:w="4265" w:type="dxa"/>
          </w:tcPr>
          <w:p w:rsidR="00C36E31" w:rsidRPr="00C36E31" w:rsidRDefault="00C36E31" w:rsidP="00C36E31">
            <w:pPr>
              <w:pStyle w:val="ListParagraph"/>
              <w:spacing w:after="0"/>
              <w:ind w:left="0"/>
              <w:rPr>
                <w:i/>
                <w:color w:val="0070C0"/>
              </w:rPr>
            </w:pPr>
            <w:r>
              <w:rPr>
                <w:i/>
                <w:color w:val="0070C0"/>
              </w:rPr>
              <w:t>281</w:t>
            </w:r>
          </w:p>
        </w:tc>
      </w:tr>
      <w:tr w:rsidR="00C36E31" w:rsidRPr="00C36E31" w:rsidTr="003C27FF">
        <w:tc>
          <w:tcPr>
            <w:tcW w:w="4325" w:type="dxa"/>
          </w:tcPr>
          <w:p w:rsidR="00C36E31" w:rsidRPr="00C36E31" w:rsidRDefault="00C36E31" w:rsidP="00C36E31">
            <w:pPr>
              <w:pStyle w:val="ListParagraph"/>
              <w:spacing w:after="0"/>
              <w:ind w:left="0"/>
              <w:rPr>
                <w:i/>
                <w:color w:val="0070C0"/>
              </w:rPr>
            </w:pPr>
            <w:r>
              <w:rPr>
                <w:i/>
                <w:color w:val="0070C0"/>
              </w:rPr>
              <w:t>Housing Capital Programme to be developed</w:t>
            </w:r>
          </w:p>
        </w:tc>
        <w:tc>
          <w:tcPr>
            <w:tcW w:w="4265" w:type="dxa"/>
          </w:tcPr>
          <w:p w:rsidR="00C36E31" w:rsidRPr="00C36E31" w:rsidRDefault="00C36E31" w:rsidP="00C36E31">
            <w:pPr>
              <w:pStyle w:val="ListParagraph"/>
              <w:spacing w:after="0"/>
              <w:ind w:left="0"/>
              <w:rPr>
                <w:i/>
                <w:color w:val="0070C0"/>
              </w:rPr>
            </w:pPr>
            <w:r>
              <w:rPr>
                <w:i/>
                <w:color w:val="0070C0"/>
              </w:rPr>
              <w:t>107</w:t>
            </w:r>
          </w:p>
        </w:tc>
      </w:tr>
      <w:tr w:rsidR="00C36E31" w:rsidRPr="00C36E31" w:rsidTr="003C27FF">
        <w:tc>
          <w:tcPr>
            <w:tcW w:w="4325" w:type="dxa"/>
          </w:tcPr>
          <w:p w:rsidR="00C36E31" w:rsidRPr="00C36E31" w:rsidRDefault="00C36E31" w:rsidP="00C36E31">
            <w:pPr>
              <w:pStyle w:val="ListParagraph"/>
              <w:spacing w:after="0"/>
              <w:ind w:left="0"/>
              <w:rPr>
                <w:i/>
                <w:color w:val="0070C0"/>
              </w:rPr>
            </w:pPr>
            <w:r>
              <w:rPr>
                <w:i/>
                <w:color w:val="0070C0"/>
              </w:rPr>
              <w:t>Community Led Housing project (funding from the Government £2m – received)</w:t>
            </w:r>
          </w:p>
        </w:tc>
        <w:tc>
          <w:tcPr>
            <w:tcW w:w="4265" w:type="dxa"/>
          </w:tcPr>
          <w:p w:rsidR="00C36E31" w:rsidRPr="00C36E31" w:rsidRDefault="00E4706E" w:rsidP="00C36E31">
            <w:pPr>
              <w:pStyle w:val="ListParagraph"/>
              <w:spacing w:after="0"/>
              <w:ind w:left="0"/>
              <w:rPr>
                <w:i/>
                <w:color w:val="0070C0"/>
              </w:rPr>
            </w:pPr>
            <w:r>
              <w:rPr>
                <w:i/>
                <w:color w:val="0070C0"/>
              </w:rPr>
              <w:t>50 to 70</w:t>
            </w:r>
          </w:p>
        </w:tc>
      </w:tr>
      <w:tr w:rsidR="00FC6AA0" w:rsidRPr="00C36E31" w:rsidTr="003C27FF">
        <w:tc>
          <w:tcPr>
            <w:tcW w:w="4325" w:type="dxa"/>
          </w:tcPr>
          <w:p w:rsidR="00FC6AA0" w:rsidRDefault="00FC6AA0" w:rsidP="00C36E31">
            <w:pPr>
              <w:pStyle w:val="ListParagraph"/>
              <w:spacing w:after="0"/>
              <w:ind w:left="0"/>
              <w:rPr>
                <w:i/>
                <w:color w:val="0070C0"/>
              </w:rPr>
            </w:pPr>
            <w:r>
              <w:rPr>
                <w:i/>
                <w:color w:val="0070C0"/>
              </w:rPr>
              <w:t>Total</w:t>
            </w:r>
          </w:p>
        </w:tc>
        <w:tc>
          <w:tcPr>
            <w:tcW w:w="4265" w:type="dxa"/>
          </w:tcPr>
          <w:p w:rsidR="00FC6AA0" w:rsidRDefault="00340B04" w:rsidP="00C36E31">
            <w:pPr>
              <w:pStyle w:val="ListParagraph"/>
              <w:spacing w:after="0"/>
              <w:ind w:left="0"/>
              <w:rPr>
                <w:i/>
                <w:color w:val="0070C0"/>
              </w:rPr>
            </w:pPr>
            <w:r>
              <w:rPr>
                <w:i/>
                <w:color w:val="0070C0"/>
              </w:rPr>
              <w:t>2269 to 2289</w:t>
            </w:r>
          </w:p>
        </w:tc>
      </w:tr>
    </w:tbl>
    <w:p w:rsidR="00861523" w:rsidRDefault="00861523" w:rsidP="00C36E31">
      <w:pPr>
        <w:pStyle w:val="ListParagraph"/>
        <w:spacing w:after="0"/>
        <w:ind w:left="426"/>
        <w:rPr>
          <w:color w:val="0070C0"/>
        </w:rPr>
      </w:pPr>
      <w:r w:rsidRPr="00C36E31">
        <w:rPr>
          <w:color w:val="0070C0"/>
        </w:rPr>
        <w:t xml:space="preserve"> </w:t>
      </w:r>
    </w:p>
    <w:p w:rsidR="00340B04" w:rsidRPr="009D688C" w:rsidRDefault="00340B04" w:rsidP="00C36E31">
      <w:pPr>
        <w:pStyle w:val="ListParagraph"/>
        <w:spacing w:after="0"/>
        <w:ind w:left="426"/>
      </w:pPr>
      <w:r w:rsidRPr="009D688C">
        <w:t xml:space="preserve">It is proposed that the table above </w:t>
      </w:r>
      <w:r w:rsidR="007131B9" w:rsidRPr="009D688C">
        <w:t xml:space="preserve">is a </w:t>
      </w:r>
      <w:r w:rsidRPr="009D688C">
        <w:t>main modification to replace the table on page 36 of the Core Strategy.</w:t>
      </w:r>
    </w:p>
    <w:p w:rsidR="007131B9" w:rsidRPr="009D688C" w:rsidRDefault="007131B9" w:rsidP="00C36E31">
      <w:pPr>
        <w:pStyle w:val="ListParagraph"/>
        <w:spacing w:after="0"/>
        <w:ind w:left="426"/>
      </w:pPr>
      <w:r w:rsidRPr="009D688C">
        <w:t xml:space="preserve"> </w:t>
      </w:r>
    </w:p>
    <w:p w:rsidR="00861523" w:rsidRPr="009D688C" w:rsidRDefault="00FC6AA0" w:rsidP="00861523">
      <w:pPr>
        <w:spacing w:after="0"/>
        <w:ind w:left="426" w:hanging="426"/>
        <w:rPr>
          <w:i/>
        </w:rPr>
      </w:pPr>
      <w:r w:rsidRPr="009D688C">
        <w:tab/>
      </w:r>
      <w:r w:rsidRPr="009D688C">
        <w:rPr>
          <w:i/>
        </w:rPr>
        <w:t xml:space="preserve">There are also another 90 affordable houses waiting in </w:t>
      </w:r>
      <w:r w:rsidR="00340B04" w:rsidRPr="009D688C">
        <w:rPr>
          <w:i/>
        </w:rPr>
        <w:t xml:space="preserve">major applications windfall in </w:t>
      </w:r>
      <w:r w:rsidRPr="009D688C">
        <w:rPr>
          <w:i/>
        </w:rPr>
        <w:t>the pipeline moving toward an approval in applications</w:t>
      </w:r>
      <w:r w:rsidR="007E2E9D" w:rsidRPr="009D688C">
        <w:rPr>
          <w:i/>
        </w:rPr>
        <w:t xml:space="preserve"> and 106 have been given permission si</w:t>
      </w:r>
      <w:r w:rsidR="00340B04" w:rsidRPr="009D688C">
        <w:rPr>
          <w:i/>
        </w:rPr>
        <w:t>nce March 2017; this equals 2485</w:t>
      </w:r>
      <w:r w:rsidR="00E4706E" w:rsidRPr="009D688C">
        <w:rPr>
          <w:i/>
        </w:rPr>
        <w:t xml:space="preserve"> if the Community Led Housing project provides its top level figure</w:t>
      </w:r>
      <w:r w:rsidRPr="009D688C">
        <w:rPr>
          <w:i/>
        </w:rPr>
        <w:t>.</w:t>
      </w:r>
    </w:p>
    <w:p w:rsidR="00923186" w:rsidRPr="009D688C" w:rsidRDefault="00923186" w:rsidP="00923186">
      <w:pPr>
        <w:spacing w:after="0"/>
        <w:ind w:left="426"/>
        <w:rPr>
          <w:i/>
        </w:rPr>
      </w:pPr>
    </w:p>
    <w:p w:rsidR="00FC6AA0" w:rsidRPr="009D688C" w:rsidRDefault="00923186" w:rsidP="00923186">
      <w:pPr>
        <w:spacing w:after="0"/>
        <w:ind w:left="426"/>
        <w:rPr>
          <w:i/>
        </w:rPr>
      </w:pPr>
      <w:r w:rsidRPr="009D688C">
        <w:rPr>
          <w:i/>
        </w:rPr>
        <w:t xml:space="preserve">For just this year alone the delivery will be 106 plus the 90 moving toward an approval, this is 196 x 13 (years left, excluding 2017/2018)  = 2548 and that is excluding the above dwellings set out in the table above </w:t>
      </w:r>
    </w:p>
    <w:p w:rsidR="00FC6AA0" w:rsidRPr="009D688C" w:rsidRDefault="00FC6AA0" w:rsidP="00861523">
      <w:pPr>
        <w:spacing w:after="0"/>
        <w:ind w:left="426" w:hanging="426"/>
        <w:rPr>
          <w:i/>
        </w:rPr>
      </w:pPr>
      <w:r w:rsidRPr="009D688C">
        <w:rPr>
          <w:i/>
        </w:rPr>
        <w:tab/>
      </w:r>
    </w:p>
    <w:p w:rsidR="00FC6AA0" w:rsidRPr="009D688C" w:rsidRDefault="00FC6AA0" w:rsidP="00861523">
      <w:pPr>
        <w:spacing w:after="0"/>
        <w:ind w:left="426" w:hanging="426"/>
        <w:rPr>
          <w:i/>
        </w:rPr>
      </w:pPr>
      <w:r w:rsidRPr="009D688C">
        <w:rPr>
          <w:i/>
        </w:rPr>
        <w:tab/>
        <w:t>The Council believes that it will achieve its requirement of 2825.</w:t>
      </w:r>
    </w:p>
    <w:p w:rsidR="00FC6AA0" w:rsidRPr="009D688C" w:rsidRDefault="00FC6AA0" w:rsidP="00861523">
      <w:pPr>
        <w:spacing w:after="0"/>
        <w:ind w:left="426" w:hanging="426"/>
        <w:rPr>
          <w:i/>
        </w:rPr>
      </w:pPr>
    </w:p>
    <w:p w:rsidR="00861523" w:rsidRPr="009D688C" w:rsidRDefault="00861523" w:rsidP="00861523">
      <w:pPr>
        <w:pStyle w:val="ListParagraph"/>
        <w:numPr>
          <w:ilvl w:val="0"/>
          <w:numId w:val="3"/>
        </w:numPr>
        <w:spacing w:after="0"/>
        <w:ind w:left="426" w:hanging="426"/>
      </w:pPr>
      <w:r w:rsidRPr="009D688C">
        <w:t>Is it necessary to consider an increase in the total housing requirement in order to deliver the necessary amount of affordable housing?</w:t>
      </w:r>
    </w:p>
    <w:p w:rsidR="00FC6AA0" w:rsidRPr="009D688C" w:rsidRDefault="00FC6AA0" w:rsidP="00FC6AA0">
      <w:pPr>
        <w:pStyle w:val="ListParagraph"/>
        <w:spacing w:after="0"/>
        <w:ind w:left="426"/>
      </w:pPr>
    </w:p>
    <w:p w:rsidR="00FC6AA0" w:rsidRPr="009D688C" w:rsidRDefault="00FC6AA0" w:rsidP="00FC6AA0">
      <w:pPr>
        <w:pStyle w:val="ListParagraph"/>
        <w:spacing w:after="0"/>
        <w:ind w:left="426"/>
        <w:rPr>
          <w:i/>
        </w:rPr>
      </w:pPr>
      <w:r w:rsidRPr="009D688C">
        <w:rPr>
          <w:i/>
        </w:rPr>
        <w:t>The Council does not believe it is necessary to increase the total housing requirement in order to deliver the necessary amount of affordable housing.  Given the Council`s delivery in 2016/2017</w:t>
      </w:r>
      <w:r w:rsidR="007E2E9D" w:rsidRPr="009D688C">
        <w:rPr>
          <w:i/>
        </w:rPr>
        <w:t>, and its continued delivery in 2017, it demonstrates a robust approach to delivery of affordable housing and demonstrates that the amount of housing can be delivered over the plan period.</w:t>
      </w:r>
      <w:r w:rsidR="00B65182" w:rsidRPr="009D688C">
        <w:rPr>
          <w:i/>
        </w:rPr>
        <w:t xml:space="preserve">  For just this year alone the delivery will be 106 plus the 90 moving toward an approval, this is 196 x 13 (years left, excluding 2017/2018)  = 2548</w:t>
      </w:r>
    </w:p>
    <w:p w:rsidR="007E2E9D" w:rsidRPr="009D688C" w:rsidRDefault="007E2E9D" w:rsidP="00FC6AA0">
      <w:pPr>
        <w:pStyle w:val="ListParagraph"/>
        <w:spacing w:after="0"/>
        <w:ind w:left="426"/>
        <w:rPr>
          <w:i/>
        </w:rPr>
      </w:pPr>
    </w:p>
    <w:p w:rsidR="007E2E9D" w:rsidRPr="00FC6AA0" w:rsidRDefault="007E2E9D" w:rsidP="00FC6AA0">
      <w:pPr>
        <w:pStyle w:val="ListParagraph"/>
        <w:spacing w:after="0"/>
        <w:ind w:left="426"/>
        <w:rPr>
          <w:i/>
          <w:color w:val="0070C0"/>
        </w:rPr>
      </w:pPr>
    </w:p>
    <w:p w:rsidR="00861523" w:rsidRDefault="00861523" w:rsidP="00861523">
      <w:pPr>
        <w:spacing w:after="0"/>
      </w:pPr>
    </w:p>
    <w:p w:rsidR="00861523" w:rsidRDefault="00861523" w:rsidP="00861523">
      <w:pPr>
        <w:spacing w:after="0"/>
      </w:pPr>
    </w:p>
    <w:p w:rsidR="00861523" w:rsidRPr="009D688C" w:rsidRDefault="00861523" w:rsidP="00861523">
      <w:pPr>
        <w:spacing w:after="0"/>
        <w:rPr>
          <w:b/>
          <w:sz w:val="28"/>
          <w:szCs w:val="28"/>
        </w:rPr>
      </w:pPr>
      <w:r w:rsidRPr="009D688C">
        <w:rPr>
          <w:b/>
          <w:sz w:val="28"/>
          <w:szCs w:val="28"/>
        </w:rPr>
        <w:t>Matter 3b – Supply of Gypsy and Traveller Accommodation</w:t>
      </w:r>
    </w:p>
    <w:p w:rsidR="00861523" w:rsidRPr="009D688C" w:rsidRDefault="00861523" w:rsidP="00861523">
      <w:pPr>
        <w:spacing w:after="0"/>
      </w:pPr>
    </w:p>
    <w:p w:rsidR="00861523" w:rsidRPr="009D688C" w:rsidRDefault="00861523" w:rsidP="00861523">
      <w:pPr>
        <w:spacing w:after="0"/>
        <w:rPr>
          <w:b/>
        </w:rPr>
      </w:pPr>
      <w:r w:rsidRPr="009D688C">
        <w:rPr>
          <w:b/>
          <w:u w:val="single"/>
        </w:rPr>
        <w:t>Issue:</w:t>
      </w:r>
      <w:r w:rsidRPr="009D688C">
        <w:rPr>
          <w:b/>
        </w:rPr>
        <w:t xml:space="preserve"> Will the Settlement Proposals DPD meet the requirements of paragraph 10 of the Planning Policy for Traveller Sites (PPTS) in respect of delivering the relevant development?</w:t>
      </w:r>
    </w:p>
    <w:p w:rsidR="00861523" w:rsidRPr="009D688C" w:rsidRDefault="00861523" w:rsidP="00861523">
      <w:pPr>
        <w:spacing w:after="0"/>
        <w:rPr>
          <w:b/>
        </w:rPr>
      </w:pPr>
    </w:p>
    <w:p w:rsidR="00861523" w:rsidRDefault="00861523" w:rsidP="00861523">
      <w:pPr>
        <w:pStyle w:val="ListParagraph"/>
        <w:numPr>
          <w:ilvl w:val="0"/>
          <w:numId w:val="1"/>
        </w:numPr>
        <w:spacing w:after="0"/>
      </w:pPr>
      <w:r w:rsidRPr="00A83452">
        <w:t>Is the plan consistent with paragraph 10 part a) of the PPTS?  Will the sites identified in the plan be delivered within the first five years of the plan period?  How will this be monitored and managed?  Are any contingency plans necessary/in place?</w:t>
      </w:r>
    </w:p>
    <w:p w:rsidR="00B65182" w:rsidRDefault="00B65182" w:rsidP="00B65182">
      <w:pPr>
        <w:pStyle w:val="ListParagraph"/>
        <w:spacing w:after="0"/>
        <w:ind w:left="360"/>
      </w:pPr>
    </w:p>
    <w:p w:rsidR="00B65182" w:rsidRPr="00B65182" w:rsidRDefault="00B65182" w:rsidP="00B65182">
      <w:pPr>
        <w:pStyle w:val="ListParagraph"/>
        <w:rPr>
          <w:i/>
        </w:rPr>
      </w:pPr>
      <w:r w:rsidRPr="00B65182">
        <w:rPr>
          <w:i/>
        </w:rPr>
        <w:t xml:space="preserve">The Council is looking to deliver the two sites in the Local Plan within the first five years, much sooner if possible.  </w:t>
      </w:r>
    </w:p>
    <w:p w:rsidR="00B65182" w:rsidRPr="00B65182" w:rsidRDefault="00B65182" w:rsidP="00B65182">
      <w:pPr>
        <w:pStyle w:val="ListParagraph"/>
        <w:rPr>
          <w:i/>
        </w:rPr>
      </w:pPr>
    </w:p>
    <w:p w:rsidR="00B65182" w:rsidRPr="00B65182" w:rsidRDefault="00B65182" w:rsidP="00B65182">
      <w:pPr>
        <w:pStyle w:val="ListParagraph"/>
        <w:rPr>
          <w:i/>
        </w:rPr>
      </w:pPr>
      <w:r w:rsidRPr="00B65182">
        <w:rPr>
          <w:i/>
        </w:rPr>
        <w:t>With regards to the Louth site, work has commenced to either buy it and if meaningful negotiations on its purchase cannot be reached then the Council is going to move to compulsorily purchase the site.</w:t>
      </w:r>
    </w:p>
    <w:p w:rsidR="00B65182" w:rsidRPr="00B65182" w:rsidRDefault="00B65182" w:rsidP="00B65182">
      <w:pPr>
        <w:pStyle w:val="ListParagraph"/>
        <w:rPr>
          <w:i/>
        </w:rPr>
      </w:pPr>
    </w:p>
    <w:p w:rsidR="00B65182" w:rsidRPr="00B65182" w:rsidRDefault="00B65182" w:rsidP="00B65182">
      <w:pPr>
        <w:pStyle w:val="ListParagraph"/>
        <w:rPr>
          <w:i/>
        </w:rPr>
      </w:pPr>
      <w:r w:rsidRPr="00B65182">
        <w:rPr>
          <w:i/>
        </w:rPr>
        <w:t>With regard to the transit site in Mablethorpe, this is Council owned land and the Council is waiting for the outcome of the Examination, when that is over then works will be put in place to bring the site forward.  The site is being used informally already and the Council is tolerating this but wishes to place the site on a more formal footing as soon as possible.  It is hoped this can be achieved over the winter period of 2017/2018 when the transit population drops to almost nil.</w:t>
      </w:r>
    </w:p>
    <w:p w:rsidR="00B65182" w:rsidRPr="00B65182" w:rsidRDefault="00B65182" w:rsidP="00B65182">
      <w:pPr>
        <w:pStyle w:val="ListParagraph"/>
        <w:rPr>
          <w:i/>
        </w:rPr>
      </w:pPr>
    </w:p>
    <w:p w:rsidR="00B65182" w:rsidRPr="00B65182" w:rsidRDefault="00B65182" w:rsidP="00B65182">
      <w:pPr>
        <w:pStyle w:val="ListParagraph"/>
        <w:rPr>
          <w:i/>
        </w:rPr>
      </w:pPr>
      <w:r w:rsidRPr="00B65182">
        <w:rPr>
          <w:i/>
        </w:rPr>
        <w:t>The other transit site on the Burgh Bypass is privately owned and was being used as a transit site up until very recently, the owner wished to continue that use but is also waiting for the outcome of the Local Plan examination and a planning appeal.  Whilst waiting they have stopped the use of the site.</w:t>
      </w:r>
    </w:p>
    <w:p w:rsidR="00B65182" w:rsidRPr="00B65182" w:rsidRDefault="00B65182" w:rsidP="00B65182">
      <w:pPr>
        <w:pStyle w:val="ListParagraph"/>
        <w:rPr>
          <w:i/>
        </w:rPr>
      </w:pPr>
    </w:p>
    <w:p w:rsidR="00B65182" w:rsidRPr="00B65182" w:rsidRDefault="00B65182" w:rsidP="00B65182">
      <w:pPr>
        <w:pStyle w:val="ListParagraph"/>
        <w:rPr>
          <w:i/>
        </w:rPr>
      </w:pPr>
      <w:r w:rsidRPr="00B65182">
        <w:rPr>
          <w:i/>
        </w:rPr>
        <w:t>The contingency that the Council has is that it could make the Mablethorpe transit site larger.  This is not the best solution and the Council would only do this if the site at Burgh was deemed unsuitable, as it would mean accommodating all transit provision on one site and this comes with associated social problems during the summer usage.  It would be preferable to have the transit provision broken down onto the two sites.</w:t>
      </w:r>
    </w:p>
    <w:p w:rsidR="00B65182" w:rsidRPr="00B65182" w:rsidRDefault="00B65182" w:rsidP="00B65182">
      <w:pPr>
        <w:pStyle w:val="ListParagraph"/>
        <w:rPr>
          <w:i/>
        </w:rPr>
      </w:pPr>
    </w:p>
    <w:p w:rsidR="00B65182" w:rsidRPr="00B65182" w:rsidRDefault="00B65182" w:rsidP="00B65182">
      <w:pPr>
        <w:pStyle w:val="ListParagraph"/>
        <w:rPr>
          <w:i/>
        </w:rPr>
      </w:pPr>
      <w:r w:rsidRPr="00B65182">
        <w:rPr>
          <w:i/>
        </w:rPr>
        <w:t>The contingency for the permanent site provision is that the Council would have to look to buy land somewhere in one of the other larger settlements outside the area of flood risk.  This would also mean that the Council would have to apply for planning permission as well which would make the process longer, as the site in Louth already has a live consent on it.</w:t>
      </w:r>
    </w:p>
    <w:p w:rsidR="00B65182" w:rsidRPr="00B65182" w:rsidRDefault="00B65182" w:rsidP="00B65182">
      <w:pPr>
        <w:pStyle w:val="ListParagraph"/>
        <w:rPr>
          <w:i/>
        </w:rPr>
      </w:pPr>
    </w:p>
    <w:p w:rsidR="00B65182" w:rsidRPr="00B65182" w:rsidRDefault="00B65182" w:rsidP="00B65182">
      <w:pPr>
        <w:pStyle w:val="ListParagraph"/>
        <w:rPr>
          <w:i/>
        </w:rPr>
      </w:pPr>
      <w:r w:rsidRPr="00B65182">
        <w:rPr>
          <w:i/>
        </w:rPr>
        <w:t xml:space="preserve">The matter is being monitored within the Planning Policy Team who is liaising with the Council`s Property Services Team. Both teams will be involved in bringing the sites forward. </w:t>
      </w:r>
    </w:p>
    <w:p w:rsidR="00B65182" w:rsidRPr="00B65182" w:rsidRDefault="00B65182" w:rsidP="00B65182">
      <w:pPr>
        <w:pStyle w:val="ListParagraph"/>
        <w:spacing w:after="0"/>
        <w:ind w:left="360"/>
        <w:rPr>
          <w:i/>
        </w:rPr>
      </w:pPr>
    </w:p>
    <w:p w:rsidR="00D31B0D" w:rsidRDefault="00D31B0D"/>
    <w:sectPr w:rsidR="00D31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7ED2"/>
    <w:multiLevelType w:val="hybridMultilevel"/>
    <w:tmpl w:val="02688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B6EC9"/>
    <w:multiLevelType w:val="hybridMultilevel"/>
    <w:tmpl w:val="C98A2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9F0469"/>
    <w:multiLevelType w:val="hybridMultilevel"/>
    <w:tmpl w:val="DD442FFC"/>
    <w:lvl w:ilvl="0" w:tplc="47564530">
      <w:start w:val="1"/>
      <w:numFmt w:val="decimal"/>
      <w:lvlText w:val="%1."/>
      <w:lvlJc w:val="left"/>
      <w:pPr>
        <w:ind w:left="360" w:hanging="360"/>
      </w:pPr>
      <w:rPr>
        <w:b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1AD2A53"/>
    <w:multiLevelType w:val="hybridMultilevel"/>
    <w:tmpl w:val="0C709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23"/>
    <w:rsid w:val="0000160E"/>
    <w:rsid w:val="0002671B"/>
    <w:rsid w:val="0003421F"/>
    <w:rsid w:val="0003571E"/>
    <w:rsid w:val="000562AE"/>
    <w:rsid w:val="000966EC"/>
    <w:rsid w:val="0010688D"/>
    <w:rsid w:val="00170292"/>
    <w:rsid w:val="001742EC"/>
    <w:rsid w:val="00195C99"/>
    <w:rsid w:val="00257070"/>
    <w:rsid w:val="00274805"/>
    <w:rsid w:val="002C029E"/>
    <w:rsid w:val="002C031E"/>
    <w:rsid w:val="0030571F"/>
    <w:rsid w:val="00340B04"/>
    <w:rsid w:val="00393A8B"/>
    <w:rsid w:val="00394B8D"/>
    <w:rsid w:val="003C27FF"/>
    <w:rsid w:val="003D41B5"/>
    <w:rsid w:val="003F7A7C"/>
    <w:rsid w:val="00421A33"/>
    <w:rsid w:val="004262A3"/>
    <w:rsid w:val="00505594"/>
    <w:rsid w:val="00533C77"/>
    <w:rsid w:val="00572E20"/>
    <w:rsid w:val="005A53BB"/>
    <w:rsid w:val="005E7BB3"/>
    <w:rsid w:val="006A0F3E"/>
    <w:rsid w:val="006E083A"/>
    <w:rsid w:val="006E3E0C"/>
    <w:rsid w:val="006F48F8"/>
    <w:rsid w:val="0070296F"/>
    <w:rsid w:val="007131B9"/>
    <w:rsid w:val="007A37F6"/>
    <w:rsid w:val="007C46C1"/>
    <w:rsid w:val="007E2E9D"/>
    <w:rsid w:val="00817404"/>
    <w:rsid w:val="00861523"/>
    <w:rsid w:val="00882A32"/>
    <w:rsid w:val="008D7D08"/>
    <w:rsid w:val="008E1C62"/>
    <w:rsid w:val="00923186"/>
    <w:rsid w:val="00935F47"/>
    <w:rsid w:val="009C25E9"/>
    <w:rsid w:val="009D688C"/>
    <w:rsid w:val="009F7856"/>
    <w:rsid w:val="00A5560E"/>
    <w:rsid w:val="00A746E6"/>
    <w:rsid w:val="00A97E05"/>
    <w:rsid w:val="00AA753D"/>
    <w:rsid w:val="00AD4923"/>
    <w:rsid w:val="00B65182"/>
    <w:rsid w:val="00B734C7"/>
    <w:rsid w:val="00C36E31"/>
    <w:rsid w:val="00C676B0"/>
    <w:rsid w:val="00CD0616"/>
    <w:rsid w:val="00D31B0D"/>
    <w:rsid w:val="00D57166"/>
    <w:rsid w:val="00D76D28"/>
    <w:rsid w:val="00DA7C34"/>
    <w:rsid w:val="00DD715C"/>
    <w:rsid w:val="00E06286"/>
    <w:rsid w:val="00E1799D"/>
    <w:rsid w:val="00E4706E"/>
    <w:rsid w:val="00EB33E9"/>
    <w:rsid w:val="00EF3551"/>
    <w:rsid w:val="00F045F6"/>
    <w:rsid w:val="00F215B9"/>
    <w:rsid w:val="00F45E34"/>
    <w:rsid w:val="00FA7B1D"/>
    <w:rsid w:val="00FC6AA0"/>
    <w:rsid w:val="00FE2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30BC4-9604-4D63-9683-EDE4BB67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523"/>
    <w:pPr>
      <w:spacing w:after="200" w:line="276"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523"/>
    <w:pPr>
      <w:ind w:left="720"/>
      <w:contextualSpacing/>
    </w:pPr>
  </w:style>
  <w:style w:type="table" w:styleId="TableGrid">
    <w:name w:val="Table Grid"/>
    <w:basedOn w:val="TableNormal"/>
    <w:uiPriority w:val="39"/>
    <w:rsid w:val="0025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Housing Trajectory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Sheet1!$N$1</c:f>
              <c:strCache>
                <c:ptCount val="1"/>
                <c:pt idx="0">
                  <c:v>Trajectory</c:v>
                </c:pt>
              </c:strCache>
            </c:strRef>
          </c:tx>
          <c:spPr>
            <a:solidFill>
              <a:schemeClr val="accent1"/>
            </a:solidFill>
            <a:ln>
              <a:noFill/>
            </a:ln>
            <a:effectLst/>
          </c:spPr>
          <c:invertIfNegative val="0"/>
          <c:cat>
            <c:strRef>
              <c:f>Sheet1!$M$2:$M$15</c:f>
              <c:strCache>
                <c:ptCount val="14"/>
                <c:pt idx="0">
                  <c:v>2017/18</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Sheet1!$N$2:$N$15</c:f>
              <c:numCache>
                <c:formatCode>General</c:formatCode>
                <c:ptCount val="14"/>
                <c:pt idx="0">
                  <c:v>490</c:v>
                </c:pt>
                <c:pt idx="1">
                  <c:v>749</c:v>
                </c:pt>
                <c:pt idx="2">
                  <c:v>749</c:v>
                </c:pt>
                <c:pt idx="3">
                  <c:v>749</c:v>
                </c:pt>
                <c:pt idx="4">
                  <c:v>749</c:v>
                </c:pt>
                <c:pt idx="5">
                  <c:v>485</c:v>
                </c:pt>
                <c:pt idx="6">
                  <c:v>481</c:v>
                </c:pt>
                <c:pt idx="7">
                  <c:v>481</c:v>
                </c:pt>
                <c:pt idx="8">
                  <c:v>481</c:v>
                </c:pt>
                <c:pt idx="9">
                  <c:v>481</c:v>
                </c:pt>
                <c:pt idx="10">
                  <c:v>481</c:v>
                </c:pt>
                <c:pt idx="11">
                  <c:v>481</c:v>
                </c:pt>
                <c:pt idx="12">
                  <c:v>481</c:v>
                </c:pt>
                <c:pt idx="13">
                  <c:v>481</c:v>
                </c:pt>
              </c:numCache>
            </c:numRef>
          </c:val>
        </c:ser>
        <c:dLbls>
          <c:showLegendKey val="0"/>
          <c:showVal val="0"/>
          <c:showCatName val="0"/>
          <c:showSerName val="0"/>
          <c:showPercent val="0"/>
          <c:showBubbleSize val="0"/>
        </c:dLbls>
        <c:gapWidth val="219"/>
        <c:overlap val="-27"/>
        <c:axId val="290460032"/>
        <c:axId val="291895232"/>
      </c:barChart>
      <c:catAx>
        <c:axId val="29046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895232"/>
        <c:crosses val="autoZero"/>
        <c:auto val="1"/>
        <c:lblAlgn val="ctr"/>
        <c:lblOffset val="100"/>
        <c:noMultiLvlLbl val="0"/>
      </c:catAx>
      <c:valAx>
        <c:axId val="29189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460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Target and Completions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Target</c:v>
                </c:pt>
              </c:strCache>
            </c:strRef>
          </c:tx>
          <c:spPr>
            <a:ln w="28575" cap="rnd">
              <a:solidFill>
                <a:schemeClr val="accent1"/>
              </a:solidFill>
              <a:round/>
            </a:ln>
            <a:effectLst/>
          </c:spPr>
          <c:marker>
            <c:symbol val="none"/>
          </c:marker>
          <c:cat>
            <c:numRef>
              <c:f>Sheet1!$A$2:$A$17</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Sheet1!$B$2:$B$17</c:f>
              <c:numCache>
                <c:formatCode>General</c:formatCode>
                <c:ptCount val="16"/>
                <c:pt idx="0">
                  <c:v>520</c:v>
                </c:pt>
                <c:pt idx="1">
                  <c:v>520</c:v>
                </c:pt>
                <c:pt idx="2">
                  <c:v>520</c:v>
                </c:pt>
                <c:pt idx="3">
                  <c:v>520</c:v>
                </c:pt>
                <c:pt idx="4">
                  <c:v>520</c:v>
                </c:pt>
                <c:pt idx="5">
                  <c:v>600</c:v>
                </c:pt>
                <c:pt idx="6">
                  <c:v>600</c:v>
                </c:pt>
                <c:pt idx="7">
                  <c:v>600</c:v>
                </c:pt>
                <c:pt idx="8">
                  <c:v>600</c:v>
                </c:pt>
                <c:pt idx="9">
                  <c:v>600</c:v>
                </c:pt>
                <c:pt idx="10">
                  <c:v>481</c:v>
                </c:pt>
                <c:pt idx="11">
                  <c:v>481</c:v>
                </c:pt>
                <c:pt idx="12">
                  <c:v>481</c:v>
                </c:pt>
                <c:pt idx="13">
                  <c:v>481</c:v>
                </c:pt>
                <c:pt idx="14">
                  <c:v>481</c:v>
                </c:pt>
                <c:pt idx="15">
                  <c:v>481</c:v>
                </c:pt>
              </c:numCache>
            </c:numRef>
          </c:val>
          <c:smooth val="0"/>
        </c:ser>
        <c:ser>
          <c:idx val="1"/>
          <c:order val="1"/>
          <c:tx>
            <c:strRef>
              <c:f>Sheet1!$C$1</c:f>
              <c:strCache>
                <c:ptCount val="1"/>
                <c:pt idx="0">
                  <c:v>Completions</c:v>
                </c:pt>
              </c:strCache>
            </c:strRef>
          </c:tx>
          <c:spPr>
            <a:ln w="28575" cap="rnd">
              <a:solidFill>
                <a:schemeClr val="accent2"/>
              </a:solidFill>
              <a:round/>
            </a:ln>
            <a:effectLst/>
          </c:spPr>
          <c:marker>
            <c:symbol val="none"/>
          </c:marker>
          <c:cat>
            <c:numRef>
              <c:f>Sheet1!$A$2:$A$17</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Sheet1!$C$2:$C$17</c:f>
              <c:numCache>
                <c:formatCode>General</c:formatCode>
                <c:ptCount val="16"/>
                <c:pt idx="0">
                  <c:v>663</c:v>
                </c:pt>
                <c:pt idx="1">
                  <c:v>624</c:v>
                </c:pt>
                <c:pt idx="2">
                  <c:v>487</c:v>
                </c:pt>
                <c:pt idx="3">
                  <c:v>568</c:v>
                </c:pt>
                <c:pt idx="4">
                  <c:v>497</c:v>
                </c:pt>
                <c:pt idx="5">
                  <c:v>619</c:v>
                </c:pt>
                <c:pt idx="6">
                  <c:v>732</c:v>
                </c:pt>
                <c:pt idx="7">
                  <c:v>578</c:v>
                </c:pt>
                <c:pt idx="8">
                  <c:v>681</c:v>
                </c:pt>
                <c:pt idx="9">
                  <c:v>573</c:v>
                </c:pt>
                <c:pt idx="10">
                  <c:v>246</c:v>
                </c:pt>
                <c:pt idx="11">
                  <c:v>240</c:v>
                </c:pt>
                <c:pt idx="12">
                  <c:v>276</c:v>
                </c:pt>
                <c:pt idx="13">
                  <c:v>278</c:v>
                </c:pt>
                <c:pt idx="14">
                  <c:v>405</c:v>
                </c:pt>
                <c:pt idx="15">
                  <c:v>356</c:v>
                </c:pt>
              </c:numCache>
            </c:numRef>
          </c:val>
          <c:smooth val="0"/>
        </c:ser>
        <c:dLbls>
          <c:showLegendKey val="0"/>
          <c:showVal val="0"/>
          <c:showCatName val="0"/>
          <c:showSerName val="0"/>
          <c:showPercent val="0"/>
          <c:showBubbleSize val="0"/>
        </c:dLbls>
        <c:smooth val="0"/>
        <c:axId val="291890528"/>
        <c:axId val="291892880"/>
      </c:lineChart>
      <c:catAx>
        <c:axId val="29189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892880"/>
        <c:crosses val="autoZero"/>
        <c:auto val="1"/>
        <c:lblAlgn val="ctr"/>
        <c:lblOffset val="100"/>
        <c:noMultiLvlLbl val="0"/>
      </c:catAx>
      <c:valAx>
        <c:axId val="29189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890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Terrace and detached Median</a:t>
            </a:r>
            <a:r>
              <a:rPr lang="en-GB" baseline="0"/>
              <a:t> House Prices</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Sheet1!$C$37</c:f>
              <c:strCache>
                <c:ptCount val="1"/>
                <c:pt idx="0">
                  <c:v>Terrace House Prices</c:v>
                </c:pt>
              </c:strCache>
            </c:strRef>
          </c:tx>
          <c:spPr>
            <a:ln w="28575" cap="rnd">
              <a:solidFill>
                <a:schemeClr val="accent1"/>
              </a:solidFill>
              <a:round/>
            </a:ln>
            <a:effectLst/>
          </c:spPr>
          <c:marker>
            <c:symbol val="none"/>
          </c:marker>
          <c:cat>
            <c:numRef>
              <c:f>Sheet1!$B$38:$B$47</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Sheet1!$C$38:$C$47</c:f>
              <c:numCache>
                <c:formatCode>General</c:formatCode>
                <c:ptCount val="10"/>
                <c:pt idx="0">
                  <c:v>111881</c:v>
                </c:pt>
                <c:pt idx="1">
                  <c:v>106811</c:v>
                </c:pt>
                <c:pt idx="2">
                  <c:v>97525</c:v>
                </c:pt>
                <c:pt idx="3">
                  <c:v>96495</c:v>
                </c:pt>
                <c:pt idx="4">
                  <c:v>98471</c:v>
                </c:pt>
                <c:pt idx="5">
                  <c:v>98161</c:v>
                </c:pt>
                <c:pt idx="6">
                  <c:v>91335</c:v>
                </c:pt>
                <c:pt idx="7">
                  <c:v>97579</c:v>
                </c:pt>
                <c:pt idx="8">
                  <c:v>102254</c:v>
                </c:pt>
                <c:pt idx="9">
                  <c:v>104921</c:v>
                </c:pt>
              </c:numCache>
            </c:numRef>
          </c:val>
          <c:smooth val="0"/>
        </c:ser>
        <c:ser>
          <c:idx val="1"/>
          <c:order val="1"/>
          <c:tx>
            <c:strRef>
              <c:f>Sheet1!$D$37</c:f>
              <c:strCache>
                <c:ptCount val="1"/>
                <c:pt idx="0">
                  <c:v>Detached House Prices</c:v>
                </c:pt>
              </c:strCache>
            </c:strRef>
          </c:tx>
          <c:spPr>
            <a:ln w="28575" cap="rnd">
              <a:solidFill>
                <a:schemeClr val="accent2"/>
              </a:solidFill>
              <a:round/>
            </a:ln>
            <a:effectLst/>
          </c:spPr>
          <c:marker>
            <c:symbol val="none"/>
          </c:marker>
          <c:cat>
            <c:numRef>
              <c:f>Sheet1!$B$38:$B$47</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Sheet1!$D$38:$D$47</c:f>
              <c:numCache>
                <c:formatCode>General</c:formatCode>
                <c:ptCount val="10"/>
                <c:pt idx="0">
                  <c:v>180841</c:v>
                </c:pt>
                <c:pt idx="1">
                  <c:v>176441</c:v>
                </c:pt>
                <c:pt idx="2">
                  <c:v>166744</c:v>
                </c:pt>
                <c:pt idx="3">
                  <c:v>161389</c:v>
                </c:pt>
                <c:pt idx="4">
                  <c:v>159306</c:v>
                </c:pt>
                <c:pt idx="5">
                  <c:v>163402</c:v>
                </c:pt>
                <c:pt idx="6">
                  <c:v>163909</c:v>
                </c:pt>
                <c:pt idx="7">
                  <c:v>163134</c:v>
                </c:pt>
                <c:pt idx="8">
                  <c:v>178647</c:v>
                </c:pt>
                <c:pt idx="9">
                  <c:v>178834</c:v>
                </c:pt>
              </c:numCache>
            </c:numRef>
          </c:val>
          <c:smooth val="0"/>
        </c:ser>
        <c:dLbls>
          <c:showLegendKey val="0"/>
          <c:showVal val="0"/>
          <c:showCatName val="0"/>
          <c:showSerName val="0"/>
          <c:showPercent val="0"/>
          <c:showBubbleSize val="0"/>
        </c:dLbls>
        <c:smooth val="0"/>
        <c:axId val="291891312"/>
        <c:axId val="291891704"/>
      </c:lineChart>
      <c:catAx>
        <c:axId val="29189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891704"/>
        <c:crosses val="autoZero"/>
        <c:auto val="1"/>
        <c:lblAlgn val="ctr"/>
        <c:lblOffset val="100"/>
        <c:noMultiLvlLbl val="0"/>
      </c:catAx>
      <c:valAx>
        <c:axId val="291891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891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Pages>
  <Words>2732</Words>
  <Characters>15573</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CPBS</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Shorland, Anne</dc:creator>
  <cp:keywords/>
  <dc:description/>
  <cp:lastModifiedBy>Clark, Gemma</cp:lastModifiedBy>
  <cp:revision>2</cp:revision>
  <dcterms:created xsi:type="dcterms:W3CDTF">2017-09-05T09:21:00Z</dcterms:created>
  <dcterms:modified xsi:type="dcterms:W3CDTF">2017-09-05T09:21:00Z</dcterms:modified>
</cp:coreProperties>
</file>